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20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the quarterly period ended </w:t>
      </w:r>
      <w:r>
        <w:rPr>
          <w:rFonts w:ascii="Times New Roman" w:cs="Times New Roman" w:eastAsia="Times New Roman" w:hAnsi="Times New Roman"/>
          <w:sz w:val="14"/>
          <w:szCs w:val="14"/>
          <w:b w:val="1"/>
          <w:bCs w:val="1"/>
          <w:u w:val="single" w:color="auto"/>
          <w:color w:val="auto"/>
        </w:rPr>
        <w:t>September 26, 2026</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For the transition period from _ to _</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001-40358</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580" w:type="dxa"/>
            <w:vAlign w:val="bottom"/>
          </w:tcPr>
          <w:p>
            <w:pPr>
              <w:jc w:val="right"/>
              <w:ind w:right="2368"/>
              <w:spacing w:after="0"/>
              <w:rPr>
                <w:sz w:val="20"/>
                <w:szCs w:val="20"/>
                <w:color w:val="auto"/>
              </w:rPr>
            </w:pPr>
            <w:r>
              <w:rPr>
                <w:rFonts w:ascii="Times New Roman" w:cs="Times New Roman" w:eastAsia="Times New Roman" w:hAnsi="Times New Roman"/>
                <w:sz w:val="14"/>
                <w:szCs w:val="14"/>
                <w:b w:val="1"/>
                <w:bCs w:val="1"/>
                <w:color w:val="auto"/>
              </w:rPr>
              <w:t>83-2797583</w:t>
            </w: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r>
      <w:tr>
        <w:trPr>
          <w:trHeight w:val="156"/>
        </w:trPr>
        <w:tc>
          <w:tcPr>
            <w:tcW w:w="566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5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580" w:type="dxa"/>
            <w:vAlign w:val="bottom"/>
          </w:tcPr>
          <w:p>
            <w:pPr>
              <w:spacing w:after="0"/>
              <w:rPr>
                <w:sz w:val="16"/>
                <w:szCs w:val="16"/>
                <w:color w:val="auto"/>
              </w:rPr>
            </w:pPr>
          </w:p>
        </w:tc>
      </w:tr>
      <w:tr>
        <w:trPr>
          <w:trHeight w:val="355"/>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787 Watervliet Shaker Road, Latham, NY</w:t>
            </w:r>
          </w:p>
        </w:tc>
        <w:tc>
          <w:tcPr>
            <w:tcW w:w="5580" w:type="dxa"/>
            <w:vAlign w:val="bottom"/>
          </w:tcPr>
          <w:p>
            <w:pPr>
              <w:jc w:val="right"/>
              <w:ind w:right="2548"/>
              <w:spacing w:after="0"/>
              <w:rPr>
                <w:sz w:val="20"/>
                <w:szCs w:val="20"/>
                <w:color w:val="auto"/>
              </w:rPr>
            </w:pPr>
            <w:r>
              <w:rPr>
                <w:rFonts w:ascii="Times New Roman" w:cs="Times New Roman" w:eastAsia="Times New Roman" w:hAnsi="Times New Roman"/>
                <w:sz w:val="14"/>
                <w:szCs w:val="14"/>
                <w:b w:val="1"/>
                <w:bCs w:val="1"/>
                <w:color w:val="auto"/>
              </w:rPr>
              <w:t>12110</w:t>
            </w: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r>
      <w:tr>
        <w:trPr>
          <w:trHeight w:val="200"/>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833-3800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52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297"/>
        </w:trPr>
        <w:tc>
          <w:tcPr>
            <w:tcW w:w="44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26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7"/>
        </w:trPr>
        <w:tc>
          <w:tcPr>
            <w:tcW w:w="44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00"/>
        </w:trPr>
        <w:tc>
          <w:tcPr>
            <w:tcW w:w="446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SWIM</w:t>
            </w:r>
          </w:p>
        </w:tc>
        <w:tc>
          <w:tcPr>
            <w:tcW w:w="42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90" w:lineRule="exact"/>
        <w:rPr>
          <w:sz w:val="24"/>
          <w:szCs w:val="24"/>
          <w:color w:val="auto"/>
        </w:rPr>
      </w:pPr>
    </w:p>
    <w:p>
      <w:pPr>
        <w:ind w:right="2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p>
      <w:pPr>
        <w:ind w:left="80"/>
        <w:spacing w:after="0" w:line="161" w:lineRule="exact"/>
        <w:tabs>
          <w:tab w:leader="none" w:pos="2080" w:val="left"/>
          <w:tab w:leader="none" w:pos="2440" w:val="left"/>
          <w:tab w:leader="none" w:pos="4300" w:val="left"/>
          <w:tab w:leader="none" w:pos="4640" w:val="left"/>
          <w:tab w:leader="none" w:pos="6500" w:val="left"/>
          <w:tab w:leader="none" w:pos="6860" w:val="left"/>
          <w:tab w:leader="none" w:pos="8720" w:val="left"/>
          <w:tab w:leader="none" w:pos="9080" w:val="left"/>
          <w:tab w:leader="none" w:pos="109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21" w:lineRule="exact"/>
        <w:rPr>
          <w:sz w:val="24"/>
          <w:szCs w:val="24"/>
          <w:color w:val="auto"/>
        </w:rPr>
      </w:pPr>
    </w:p>
    <w:p>
      <w:pPr>
        <w:ind w:right="56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800"/>
        <w:spacing w:after="0" w:line="21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October 30, 2026, 117,750,570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9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2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1. Financial Statements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16"/>
        </w:trPr>
        <w:tc>
          <w:tcPr>
            <w:tcW w:w="20" w:type="dxa"/>
            <w:vAlign w:val="bottom"/>
            <w:shd w:val="clear" w:color="auto" w:fill="CCEEFF"/>
          </w:tcPr>
          <w:p>
            <w:pPr>
              <w:spacing w:after="0"/>
              <w:rPr>
                <w:sz w:val="18"/>
                <w:szCs w:val="18"/>
                <w:color w:val="auto"/>
              </w:rPr>
            </w:pPr>
          </w:p>
        </w:tc>
        <w:tc>
          <w:tcPr>
            <w:tcW w:w="9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2000" w:type="dxa"/>
            <w:vAlign w:val="bottom"/>
            <w:tcBorders>
              <w:top w:val="single" w:sz="8" w:color="0000FF"/>
            </w:tcBorders>
            <w:shd w:val="clear" w:color="auto" w:fill="CCEEFF"/>
          </w:tcPr>
          <w:p>
            <w:pPr>
              <w:spacing w:after="0"/>
              <w:rPr>
                <w:sz w:val="13"/>
                <w:szCs w:val="13"/>
                <w:color w:val="auto"/>
              </w:rPr>
            </w:pPr>
          </w:p>
        </w:tc>
        <w:tc>
          <w:tcPr>
            <w:tcW w:w="2160" w:type="dxa"/>
            <w:vAlign w:val="bottom"/>
            <w:tcBorders>
              <w:top w:val="single" w:sz="8" w:color="0000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2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55"/>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0" w:type="dxa"/>
            <w:vAlign w:val="bottom"/>
            <w:tcBorders>
              <w:top w:val="single" w:sz="8" w:color="0000FF"/>
            </w:tcBorders>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Item 4.</w:t>
            </w:r>
          </w:p>
        </w:tc>
        <w:tc>
          <w:tcPr>
            <w:tcW w:w="866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2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Item 1.</w:t>
            </w:r>
          </w:p>
        </w:tc>
        <w:tc>
          <w:tcPr>
            <w:tcW w:w="866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2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55"/>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9"/>
              </w:rPr>
              <w:t>Item 5.</w:t>
            </w:r>
          </w:p>
        </w:tc>
        <w:tc>
          <w:tcPr>
            <w:tcW w:w="866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46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9"/>
              </w:rPr>
              <w:t>Item 6.</w:t>
            </w:r>
          </w:p>
        </w:tc>
        <w:tc>
          <w:tcPr>
            <w:tcW w:w="8660" w:type="dxa"/>
            <w:vAlign w:val="bottom"/>
            <w:gridSpan w:val="12"/>
          </w:tcPr>
          <w:p>
            <w:pPr>
              <w:ind w:left="40"/>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216"/>
        </w:trPr>
        <w:tc>
          <w:tcPr>
            <w:tcW w:w="20" w:type="dxa"/>
            <w:vAlign w:val="bottom"/>
            <w:shd w:val="clear" w:color="auto" w:fill="CCEEFF"/>
          </w:tcPr>
          <w:p>
            <w:pPr>
              <w:spacing w:after="0"/>
              <w:rPr>
                <w:sz w:val="18"/>
                <w:szCs w:val="18"/>
                <w:color w:val="auto"/>
              </w:rPr>
            </w:pPr>
          </w:p>
        </w:tc>
        <w:tc>
          <w:tcPr>
            <w:tcW w:w="9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6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CCEEFF"/>
            </w:tcBorders>
            <w:shd w:val="clear" w:color="auto" w:fill="CCEEFF"/>
          </w:tcPr>
          <w:p>
            <w:pPr>
              <w:spacing w:after="0"/>
              <w:rPr>
                <w:sz w:val="13"/>
                <w:szCs w:val="13"/>
                <w:color w:val="auto"/>
              </w:rPr>
            </w:pPr>
          </w:p>
        </w:tc>
        <w:tc>
          <w:tcPr>
            <w:tcW w:w="2000" w:type="dxa"/>
            <w:vAlign w:val="bottom"/>
            <w:tcBorders>
              <w:top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5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6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6140" w:type="dxa"/>
            <w:vAlign w:val="bottom"/>
            <w:tcBorders>
              <w:top w:val="single" w:sz="8" w:color="CCEEFF"/>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55"/>
        </w:trPr>
        <w:tc>
          <w:tcPr>
            <w:tcW w:w="20" w:type="dxa"/>
            <w:vAlign w:val="bottom"/>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140" w:type="dxa"/>
            <w:vAlign w:val="bottom"/>
          </w:tcPr>
          <w:p>
            <w:pPr>
              <w:spacing w:after="0"/>
              <w:rPr>
                <w:sz w:val="13"/>
                <w:szCs w:val="13"/>
                <w:color w:val="auto"/>
              </w:rPr>
            </w:pPr>
          </w:p>
        </w:tc>
      </w:tr>
      <w:tr>
        <w:trPr>
          <w:trHeight w:val="216"/>
        </w:trPr>
        <w:tc>
          <w:tcPr>
            <w:tcW w:w="20" w:type="dxa"/>
            <w:vAlign w:val="bottom"/>
            <w:shd w:val="clear" w:color="auto" w:fill="CCEEFF"/>
          </w:tcPr>
          <w:p>
            <w:pPr>
              <w:spacing w:after="0"/>
              <w:rPr>
                <w:sz w:val="18"/>
                <w:szCs w:val="18"/>
                <w:color w:val="auto"/>
              </w:rPr>
            </w:pPr>
          </w:p>
        </w:tc>
        <w:tc>
          <w:tcPr>
            <w:tcW w:w="5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6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6140" w:type="dxa"/>
            <w:vAlign w:val="bottom"/>
            <w:tcBorders>
              <w:top w:val="single" w:sz="8" w:color="CCEEFF"/>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56"/>
        </w:trPr>
        <w:tc>
          <w:tcPr>
            <w:tcW w:w="20" w:type="dxa"/>
            <w:vAlign w:val="bottom"/>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140" w:type="dxa"/>
            <w:vAlign w:val="bottom"/>
          </w:tcPr>
          <w:p>
            <w:pPr>
              <w:spacing w:after="0"/>
              <w:rPr>
                <w:sz w:val="13"/>
                <w:szCs w:val="13"/>
                <w:color w:val="auto"/>
              </w:rPr>
            </w:pPr>
          </w:p>
        </w:tc>
      </w:tr>
      <w:tr>
        <w:trPr>
          <w:trHeight w:val="216"/>
        </w:trPr>
        <w:tc>
          <w:tcPr>
            <w:tcW w:w="20" w:type="dxa"/>
            <w:vAlign w:val="bottom"/>
            <w:shd w:val="clear" w:color="auto" w:fill="CCEEFF"/>
          </w:tcPr>
          <w:p>
            <w:pPr>
              <w:spacing w:after="0"/>
              <w:rPr>
                <w:sz w:val="18"/>
                <w:szCs w:val="18"/>
                <w:color w:val="auto"/>
              </w:rPr>
            </w:pPr>
          </w:p>
        </w:tc>
        <w:tc>
          <w:tcPr>
            <w:tcW w:w="50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0000FF"/>
            </w:tcBorders>
            <w:shd w:val="clear" w:color="auto" w:fill="CCEEFF"/>
          </w:tcPr>
          <w:p>
            <w:pPr>
              <w:spacing w:after="0"/>
              <w:rPr>
                <w:sz w:val="13"/>
                <w:szCs w:val="13"/>
                <w:color w:val="auto"/>
              </w:rPr>
            </w:pPr>
          </w:p>
        </w:tc>
        <w:tc>
          <w:tcPr>
            <w:tcW w:w="7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6140" w:type="dxa"/>
            <w:vAlign w:val="bottom"/>
            <w:tcBorders>
              <w:top w:val="single" w:sz="8" w:color="CCEEFF"/>
            </w:tcBorders>
            <w:shd w:val="clear" w:color="auto" w:fill="CCEEFF"/>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5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060"/>
        </w:trPr>
        <w:tc>
          <w:tcPr>
            <w:tcW w:w="20" w:type="dxa"/>
            <w:vAlign w:val="bottom"/>
          </w:tcPr>
          <w:p>
            <w:pPr>
              <w:spacing w:after="0"/>
              <w:rPr>
                <w:sz w:val="24"/>
                <w:szCs w:val="24"/>
                <w:color w:val="auto"/>
              </w:rPr>
            </w:pPr>
          </w:p>
        </w:tc>
        <w:tc>
          <w:tcPr>
            <w:tcW w:w="29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4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240" w:type="dxa"/>
            <w:vAlign w:val="bottom"/>
          </w:tcPr>
          <w:p>
            <w:pPr>
              <w:spacing w:after="0"/>
              <w:rPr>
                <w:sz w:val="16"/>
                <w:szCs w:val="16"/>
                <w:color w:val="auto"/>
              </w:rPr>
            </w:pPr>
          </w:p>
        </w:tc>
        <w:tc>
          <w:tcPr>
            <w:tcW w:w="13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71,043</w:t>
            </w:r>
          </w:p>
        </w:tc>
        <w:tc>
          <w:tcPr>
            <w:tcW w:w="0" w:type="dxa"/>
            <w:vAlign w:val="bottom"/>
          </w:tcPr>
          <w:p>
            <w:pPr>
              <w:spacing w:after="0"/>
              <w:rPr>
                <w:sz w:val="1"/>
                <w:szCs w:val="1"/>
                <w:color w:val="auto"/>
              </w:rPr>
            </w:pP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39,914</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74,926</w:t>
            </w:r>
          </w:p>
        </w:tc>
        <w:tc>
          <w:tcPr>
            <w:tcW w:w="0" w:type="dxa"/>
            <w:vAlign w:val="bottom"/>
          </w:tcPr>
          <w:p>
            <w:pPr>
              <w:spacing w:after="0"/>
              <w:rPr>
                <w:sz w:val="1"/>
                <w:szCs w:val="1"/>
                <w:color w:val="auto"/>
              </w:rPr>
            </w:pP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0" w:type="dxa"/>
            <w:vAlign w:val="bottom"/>
          </w:tcPr>
          <w:p>
            <w:pPr>
              <w:spacing w:after="0"/>
              <w:rPr>
                <w:sz w:val="1"/>
                <w:szCs w:val="1"/>
                <w:color w:val="auto"/>
              </w:rPr>
            </w:pPr>
          </w:p>
        </w:tc>
      </w:tr>
      <w:tr>
        <w:trPr>
          <w:trHeight w:val="250"/>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276,616</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219,004</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118,820</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w:t>
            </w:r>
          </w:p>
        </w:tc>
        <w:tc>
          <w:tcPr>
            <w:tcW w:w="0" w:type="dxa"/>
            <w:vAlign w:val="bottom"/>
          </w:tcPr>
          <w:p>
            <w:pPr>
              <w:spacing w:after="0"/>
              <w:rPr>
                <w:sz w:val="1"/>
                <w:szCs w:val="1"/>
                <w:color w:val="auto"/>
              </w:rPr>
            </w:pPr>
          </w:p>
        </w:tc>
      </w:tr>
      <w:tr>
        <w:trPr>
          <w:trHeight w:val="41"/>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155,189</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251,126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268,073</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8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892,458</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823,223</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0" w:type="dxa"/>
            <w:vAlign w:val="bottom"/>
          </w:tcPr>
          <w:p>
            <w:pPr>
              <w:spacing w:after="0"/>
              <w:rPr>
                <w:sz w:val="1"/>
                <w:szCs w:val="1"/>
                <w:color w:val="auto"/>
              </w:rPr>
            </w:pP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48,979</w:t>
            </w:r>
          </w:p>
        </w:tc>
        <w:tc>
          <w:tcPr>
            <w:tcW w:w="0" w:type="dxa"/>
            <w:vAlign w:val="bottom"/>
          </w:tcPr>
          <w:p>
            <w:pPr>
              <w:spacing w:after="0"/>
              <w:rPr>
                <w:sz w:val="1"/>
                <w:szCs w:val="1"/>
                <w:color w:val="auto"/>
              </w:rPr>
            </w:pPr>
          </w:p>
        </w:tc>
      </w:tr>
      <w:tr>
        <w:trPr>
          <w:trHeight w:val="250"/>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116,277</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79,142</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276,591</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34,269</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40"/>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468,189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417,362</w:t>
            </w:r>
          </w:p>
        </w:tc>
        <w:tc>
          <w:tcPr>
            <w:tcW w:w="0" w:type="dxa"/>
            <w:vAlign w:val="bottom"/>
          </w:tcPr>
          <w:p>
            <w:pPr>
              <w:spacing w:after="0"/>
              <w:rPr>
                <w:sz w:val="1"/>
                <w:szCs w:val="1"/>
                <w:color w:val="auto"/>
              </w:rPr>
            </w:pP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as of both September 26, 2026 and</w:t>
            </w:r>
          </w:p>
        </w:tc>
        <w:tc>
          <w:tcPr>
            <w:tcW w:w="240" w:type="dxa"/>
            <w:vAlign w:val="bottom"/>
          </w:tcPr>
          <w:p>
            <w:pPr>
              <w:spacing w:after="0"/>
              <w:rPr>
                <w:sz w:val="20"/>
                <w:szCs w:val="20"/>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 no shares issued and outstanding as of both September 26, 2026 and December 31, 2025</w:t>
            </w:r>
          </w:p>
        </w:tc>
        <w:tc>
          <w:tcPr>
            <w:tcW w:w="24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900,000,000 shares authorized as of September 26, 2026 and</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 117,750,570 and 116,766,927 shares issued and outstanding, as of September 26, 2026</w:t>
            </w:r>
          </w:p>
        </w:tc>
        <w:tc>
          <w:tcPr>
            <w:tcW w:w="24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473,423</w:t>
            </w:r>
          </w:p>
        </w:tc>
        <w:tc>
          <w:tcPr>
            <w:tcW w:w="0" w:type="dxa"/>
            <w:vAlign w:val="bottom"/>
          </w:tcPr>
          <w:p>
            <w:pPr>
              <w:spacing w:after="0"/>
              <w:rPr>
                <w:sz w:val="1"/>
                <w:szCs w:val="1"/>
                <w:color w:val="auto"/>
              </w:rPr>
            </w:pPr>
          </w:p>
        </w:tc>
      </w:tr>
      <w:tr>
        <w:trPr>
          <w:trHeight w:val="40"/>
        </w:trPr>
        <w:tc>
          <w:tcPr>
            <w:tcW w:w="7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(47,416)</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(63,692)</w:t>
            </w:r>
          </w:p>
        </w:tc>
        <w:tc>
          <w:tcPr>
            <w:tcW w:w="0" w:type="dxa"/>
            <w:vAlign w:val="bottom"/>
          </w:tcPr>
          <w:p>
            <w:pPr>
              <w:spacing w:after="0"/>
              <w:rPr>
                <w:sz w:val="1"/>
                <w:szCs w:val="1"/>
                <w:color w:val="auto"/>
              </w:rPr>
            </w:pP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40"/>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424,269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405,861</w:t>
            </w:r>
          </w:p>
        </w:tc>
        <w:tc>
          <w:tcPr>
            <w:tcW w:w="0" w:type="dxa"/>
            <w:vAlign w:val="bottom"/>
          </w:tcPr>
          <w:p>
            <w:pPr>
              <w:spacing w:after="0"/>
              <w:rPr>
                <w:sz w:val="1"/>
                <w:szCs w:val="1"/>
                <w:color w:val="auto"/>
              </w:rPr>
            </w:pPr>
          </w:p>
        </w:tc>
      </w:tr>
      <w:tr>
        <w:trPr>
          <w:trHeight w:val="284"/>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892,458</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823,223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6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46"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6"/>
                <w:szCs w:val="16"/>
                <w:color w:val="auto"/>
              </w:rPr>
            </w:pPr>
          </w:p>
        </w:tc>
        <w:tc>
          <w:tcPr>
            <w:tcW w:w="29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6"/>
                <w:szCs w:val="16"/>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0" w:type="dxa"/>
            <w:vAlign w:val="bottom"/>
          </w:tcPr>
          <w:p>
            <w:pPr>
              <w:spacing w:after="0"/>
              <w:rPr>
                <w:sz w:val="1"/>
                <w:szCs w:val="1"/>
                <w:color w:val="auto"/>
              </w:rPr>
            </w:pPr>
          </w:p>
        </w:tc>
      </w:tr>
      <w:tr>
        <w:trPr>
          <w:trHeight w:val="29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322,902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291,811</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174,062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154,151</w:t>
            </w:r>
          </w:p>
        </w:tc>
        <w:tc>
          <w:tcPr>
            <w:tcW w:w="0" w:type="dxa"/>
            <w:vAlign w:val="bottom"/>
          </w:tcPr>
          <w:p>
            <w:pPr>
              <w:spacing w:after="0"/>
              <w:rPr>
                <w:sz w:val="1"/>
                <w:szCs w:val="1"/>
                <w:color w:val="auto"/>
              </w:rPr>
            </w:pPr>
          </w:p>
        </w:tc>
      </w:tr>
      <w:tr>
        <w:trPr>
          <w:trHeight w:val="27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91,146</w:t>
            </w: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0" w:type="dxa"/>
            <w:vAlign w:val="bottom"/>
          </w:tcPr>
          <w:p>
            <w:pPr>
              <w:spacing w:after="0"/>
              <w:rPr>
                <w:sz w:val="1"/>
                <w:szCs w:val="1"/>
                <w:color w:val="auto"/>
              </w:rPr>
            </w:pPr>
          </w:p>
        </w:tc>
      </w:tr>
      <w:tr>
        <w:trPr>
          <w:trHeight w:val="27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5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0" w:type="dxa"/>
            <w:vAlign w:val="bottom"/>
          </w:tcPr>
          <w:p>
            <w:pPr>
              <w:spacing w:after="0"/>
              <w:rPr>
                <w:sz w:val="1"/>
                <w:szCs w:val="1"/>
                <w:color w:val="auto"/>
              </w:rPr>
            </w:pPr>
          </w:p>
        </w:tc>
      </w:tr>
      <w:tr>
        <w:trPr>
          <w:trHeight w:val="29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0" w:type="dxa"/>
            <w:vAlign w:val="bottom"/>
          </w:tcPr>
          <w:p>
            <w:pPr>
              <w:spacing w:after="0"/>
              <w:rPr>
                <w:sz w:val="1"/>
                <w:szCs w:val="1"/>
                <w:color w:val="auto"/>
              </w:rPr>
            </w:pPr>
          </w:p>
        </w:tc>
      </w:tr>
      <w:tr>
        <w:trPr>
          <w:trHeight w:val="29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0" w:type="dxa"/>
            <w:vAlign w:val="bottom"/>
          </w:tcPr>
          <w:p>
            <w:pPr>
              <w:spacing w:after="0"/>
              <w:rPr>
                <w:sz w:val="1"/>
                <w:szCs w:val="1"/>
                <w:color w:val="auto"/>
              </w:rPr>
            </w:pPr>
          </w:p>
        </w:tc>
      </w:tr>
      <w:tr>
        <w:trPr>
          <w:trHeight w:val="2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117,690,489</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116,603,331</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117,360,560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116,323,609</w:t>
            </w:r>
          </w:p>
        </w:tc>
      </w:tr>
      <w:tr>
        <w:trPr>
          <w:trHeight w:val="29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7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119,797,839</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119,907,619</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119,756,831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119,720,706</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6"/>
                <w:szCs w:val="16"/>
                <w:color w:val="auto"/>
              </w:rPr>
            </w:pPr>
          </w:p>
        </w:tc>
        <w:tc>
          <w:tcPr>
            <w:tcW w:w="294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37"/>
        </w:trPr>
        <w:tc>
          <w:tcPr>
            <w:tcW w:w="5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8"/>
                <w:szCs w:val="18"/>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50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6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4"/>
        </w:trPr>
        <w:tc>
          <w:tcPr>
            <w:tcW w:w="3300" w:type="dxa"/>
            <w:vAlign w:val="bottom"/>
          </w:tcPr>
          <w:p>
            <w:pPr>
              <w:spacing w:after="0"/>
              <w:rPr>
                <w:sz w:val="17"/>
                <w:szCs w:val="17"/>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115,764,839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387,222</w:t>
            </w: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0" w:type="dxa"/>
            <w:vAlign w:val="bottom"/>
          </w:tcPr>
          <w:p>
            <w:pPr>
              <w:spacing w:after="0"/>
              <w:rPr>
                <w:sz w:val="1"/>
                <w:szCs w:val="1"/>
                <w:color w:val="auto"/>
              </w:rPr>
            </w:pPr>
          </w:p>
        </w:tc>
      </w:tr>
      <w:tr>
        <w:trPr>
          <w:trHeight w:val="29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release of</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941,370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taxes on</w:t>
            </w: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(343,232)</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0" w:type="dxa"/>
            <w:vAlign w:val="bottom"/>
          </w:tcPr>
          <w:p>
            <w:pPr>
              <w:spacing w:after="0"/>
              <w:rPr>
                <w:sz w:val="1"/>
                <w:szCs w:val="1"/>
                <w:color w:val="auto"/>
              </w:rPr>
            </w:pPr>
          </w:p>
        </w:tc>
      </w:tr>
      <w:tr>
        <w:trPr>
          <w:trHeight w:val="275"/>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29,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116,362,977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release of</w:t>
            </w: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182,341</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taxes on</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9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28, 2025</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116,536,129</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468,065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398,428</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0" w:type="dxa"/>
            <w:vAlign w:val="bottom"/>
          </w:tcPr>
          <w:p>
            <w:pPr>
              <w:spacing w:after="0"/>
              <w:rPr>
                <w:sz w:val="1"/>
                <w:szCs w:val="1"/>
                <w:color w:val="auto"/>
              </w:rPr>
            </w:pPr>
          </w:p>
        </w:tc>
      </w:tr>
      <w:tr>
        <w:trPr>
          <w:trHeight w:val="29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release of</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taxes on</w:t>
            </w: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75"/>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27,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116,655,775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469,731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408,357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10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4"/>
        </w:trPr>
        <w:tc>
          <w:tcPr>
            <w:tcW w:w="3300" w:type="dxa"/>
            <w:vAlign w:val="bottom"/>
          </w:tcPr>
          <w:p>
            <w:pPr>
              <w:spacing w:after="0"/>
              <w:rPr>
                <w:sz w:val="17"/>
                <w:szCs w:val="17"/>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116,766,927</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405,861</w:t>
            </w: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9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release of</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1,005,086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taxes on</w:t>
            </w: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75"/>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28, 2026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117,407,719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5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release of</w:t>
            </w: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taxes on</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9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27, 2026</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117,535,232</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473,660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411,432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9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5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release of</w:t>
            </w: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taxes on</w:t>
            </w: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(121,454)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9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75"/>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26, 2026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117,750,570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424,269</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41910</wp:posOffset>
            </wp:positionV>
            <wp:extent cx="20828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26,</w:t>
            </w:r>
          </w:p>
        </w:tc>
        <w:tc>
          <w:tcPr>
            <w:tcW w:w="260" w:type="dxa"/>
            <w:vAlign w:val="bottom"/>
          </w:tcPr>
          <w:p>
            <w:pPr>
              <w:spacing w:after="0"/>
              <w:rPr>
                <w:sz w:val="14"/>
                <w:szCs w:val="14"/>
                <w:color w:val="auto"/>
              </w:rPr>
            </w:pPr>
          </w:p>
        </w:tc>
        <w:tc>
          <w:tcPr>
            <w:tcW w:w="134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September 27,</w:t>
            </w:r>
          </w:p>
        </w:tc>
      </w:tr>
      <w:tr>
        <w:trPr>
          <w:trHeight w:val="166"/>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43"/>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r>
      <w:tr>
        <w:trPr>
          <w:trHeight w:val="221"/>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16,276</w:t>
            </w:r>
          </w:p>
        </w:tc>
        <w:tc>
          <w:tcPr>
            <w:tcW w:w="80" w:type="dxa"/>
            <w:vAlign w:val="bottom"/>
          </w:tcPr>
          <w:p>
            <w:pPr>
              <w:spacing w:after="0"/>
              <w:rPr>
                <w:sz w:val="19"/>
                <w:szCs w:val="19"/>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18,135</w:t>
            </w:r>
          </w:p>
        </w:tc>
      </w:tr>
      <w:tr>
        <w:trPr>
          <w:trHeight w:val="21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22"/>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37,978</w:t>
            </w:r>
          </w:p>
        </w:tc>
      </w:tr>
      <w:tr>
        <w:trPr>
          <w:trHeight w:val="237"/>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Unrealized foreign currency loss (gain)</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(2,878)</w:t>
            </w:r>
          </w:p>
        </w:tc>
      </w:tr>
      <w:tr>
        <w:trPr>
          <w:trHeight w:val="222"/>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r>
      <w:tr>
        <w:trPr>
          <w:trHeight w:val="238"/>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Non-cash lease expense</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5,455</w:t>
            </w:r>
          </w:p>
        </w:tc>
      </w:tr>
      <w:tr>
        <w:trPr>
          <w:trHeight w:val="222"/>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 in fair value of interest rate swap</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r>
      <w:tr>
        <w:trPr>
          <w:trHeight w:val="237"/>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5,332</w:t>
            </w:r>
          </w:p>
        </w:tc>
      </w:tr>
      <w:tr>
        <w:trPr>
          <w:trHeight w:val="222"/>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38"/>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Bad debt expense</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r>
      <w:tr>
        <w:trPr>
          <w:trHeight w:val="221"/>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non-cash,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r>
      <w:tr>
        <w:trPr>
          <w:trHeight w:val="238"/>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Earnings from equity method investment</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w:t>
            </w:r>
          </w:p>
        </w:tc>
      </w:tr>
      <w:tr>
        <w:trPr>
          <w:trHeight w:val="222"/>
        </w:trPr>
        <w:tc>
          <w:tcPr>
            <w:tcW w:w="7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Distributions received from equity method investment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1,816</w:t>
            </w:r>
          </w:p>
        </w:tc>
      </w:tr>
      <w:tr>
        <w:trPr>
          <w:trHeight w:val="217"/>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22"/>
        </w:trPr>
        <w:tc>
          <w:tcPr>
            <w:tcW w:w="7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Trade receivables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(50,352)</w:t>
            </w:r>
          </w:p>
        </w:tc>
      </w:tr>
      <w:tr>
        <w:trPr>
          <w:trHeight w:val="238"/>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Inventories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7,331</w:t>
            </w:r>
          </w:p>
        </w:tc>
      </w:tr>
      <w:tr>
        <w:trPr>
          <w:trHeight w:val="222"/>
        </w:trPr>
        <w:tc>
          <w:tcPr>
            <w:tcW w:w="7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w:t>
            </w:r>
          </w:p>
        </w:tc>
      </w:tr>
      <w:tr>
        <w:trPr>
          <w:trHeight w:val="237"/>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Income tax receivable</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(5,603)</w:t>
            </w:r>
          </w:p>
        </w:tc>
      </w:tr>
      <w:tr>
        <w:trPr>
          <w:trHeight w:val="222"/>
        </w:trPr>
        <w:tc>
          <w:tcPr>
            <w:tcW w:w="7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r>
      <w:tr>
        <w:trPr>
          <w:trHeight w:val="238"/>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15,752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16,296</w:t>
            </w:r>
          </w:p>
        </w:tc>
      </w:tr>
      <w:tr>
        <w:trPr>
          <w:trHeight w:val="221"/>
        </w:trPr>
        <w:tc>
          <w:tcPr>
            <w:tcW w:w="7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6,672</w:t>
            </w:r>
          </w:p>
        </w:tc>
      </w:tr>
      <w:tr>
        <w:trPr>
          <w:trHeight w:val="238"/>
        </w:trPr>
        <w:tc>
          <w:tcPr>
            <w:tcW w:w="7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r>
      <w:tr>
        <w:trPr>
          <w:trHeight w:val="203"/>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54,576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40,121</w:t>
            </w:r>
          </w:p>
        </w:tc>
      </w:tr>
      <w:tr>
        <w:trPr>
          <w:trHeight w:val="17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1"/>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(16,160)</w:t>
            </w:r>
          </w:p>
        </w:tc>
      </w:tr>
      <w:tr>
        <w:trPr>
          <w:trHeight w:val="23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(14,250)</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(4,934)</w:t>
            </w:r>
          </w:p>
        </w:tc>
      </w:tr>
      <w:tr>
        <w:trPr>
          <w:trHeight w:val="203"/>
        </w:trPr>
        <w:tc>
          <w:tcPr>
            <w:tcW w:w="7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(36,428)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(21,094)</w:t>
            </w: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bl>
    <w:p>
      <w:pPr>
        <w:spacing w:after="0" w:line="22"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2"/>
          <w:szCs w:val="12"/>
          <w:color w:val="auto"/>
        </w:rPr>
        <w:t>Proceeds from long-term debt borrowings, net of discount</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Payments on long-term debt borrowings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Proceeds from borrowings on revolving credit facility</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Payments on revolving credit facility</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Deferred financing fees paid</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Repayments of finance lease obligations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Common stock withheld for taxes on restricted stock units</w:t>
      </w:r>
    </w:p>
    <w:p>
      <w:pPr>
        <w:spacing w:after="0" w:line="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p>
      <w:pPr>
        <w:spacing w:after="0" w:line="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Effect of exchange rate changes on cash</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Cash at beginning of period</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Cash at end of period</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5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298,500</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30"/>
        </w:trPr>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(284,813)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(1,625)</w:t>
            </w:r>
          </w:p>
        </w:tc>
      </w:tr>
      <w:tr>
        <w:trPr>
          <w:trHeight w:val="229"/>
        </w:trPr>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230"/>
        </w:trPr>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230"/>
        </w:trPr>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30"/>
        </w:trPr>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r>
      <w:tr>
        <w:trPr>
          <w:trHeight w:val="239"/>
        </w:trPr>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(3,210)</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(2,677)</w:t>
            </w:r>
          </w:p>
        </w:tc>
      </w:tr>
      <w:tr>
        <w:trPr>
          <w:trHeight w:val="200"/>
        </w:trPr>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(4,918)</w:t>
            </w:r>
          </w:p>
        </w:tc>
      </w:tr>
      <w:tr>
        <w:trPr>
          <w:trHeight w:val="239"/>
        </w:trPr>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200"/>
        </w:trPr>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23,767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14,120</w:t>
            </w:r>
          </w:p>
        </w:tc>
      </w:tr>
      <w:tr>
        <w:trPr>
          <w:trHeight w:val="239"/>
        </w:trPr>
        <w:tc>
          <w:tcPr>
            <w:tcW w:w="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71,043</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56,398</w:t>
            </w:r>
          </w:p>
        </w:tc>
      </w:tr>
      <w:tr>
        <w:trPr>
          <w:trHeight w:val="183"/>
        </w:trPr>
        <w:tc>
          <w:tcPr>
            <w:tcW w:w="5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94,810</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70,518</w:t>
            </w:r>
          </w:p>
        </w:tc>
      </w:tr>
      <w:tr>
        <w:trPr>
          <w:trHeight w:val="27"/>
        </w:trPr>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-1619250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-1327785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-1036955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-744855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-454025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-161925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7240" w:space="720"/>
            <w:col w:w="3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236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19,050</w:t>
            </w:r>
          </w:p>
        </w:tc>
        <w:tc>
          <w:tcPr>
            <w:tcW w:w="700" w:type="dxa"/>
            <w:vAlign w:val="bottom"/>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20,735</w:t>
            </w:r>
          </w:p>
        </w:tc>
      </w:tr>
      <w:tr>
        <w:trPr>
          <w:trHeight w:val="221"/>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taxes paid, net</w:t>
            </w:r>
          </w:p>
        </w:tc>
        <w:tc>
          <w:tcPr>
            <w:tcW w:w="236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472</w:t>
            </w:r>
          </w:p>
        </w:tc>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8,023</w:t>
            </w:r>
          </w:p>
        </w:tc>
      </w:tr>
      <w:tr>
        <w:trPr>
          <w:trHeight w:val="197"/>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2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1"/>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236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1,050</w:t>
            </w:r>
          </w:p>
        </w:tc>
        <w:tc>
          <w:tcPr>
            <w:tcW w:w="70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w:t>
            </w:r>
          </w:p>
        </w:tc>
      </w:tr>
      <w:tr>
        <w:trPr>
          <w:trHeight w:val="23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23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14,201</w:t>
            </w: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7,172</w:t>
            </w: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 through settlement of deposit</w:t>
            </w:r>
          </w:p>
        </w:tc>
        <w:tc>
          <w:tcPr>
            <w:tcW w:w="2360" w:type="dxa"/>
            <w:vAlign w:val="bottom"/>
          </w:tcPr>
          <w:p>
            <w:pPr>
              <w:spacing w:after="0"/>
              <w:rPr>
                <w:sz w:val="18"/>
                <w:szCs w:val="18"/>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12,000</w:t>
            </w:r>
          </w:p>
        </w:tc>
        <w:tc>
          <w:tcPr>
            <w:tcW w:w="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Latham Group, Inc. (the “Company” or “Latham”) wholly owns Latham Pool Products, Inc. (“Latham Pool Products”), a designer, manufacturer, and marketer of in-ground residential swimming pools in North America, Australia, and New Zealand. Latham Pool Products offers a portfolio of pools and related products, including in-ground swimming pools, pool covers, and pool liners.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balance sheet at December 31, 2025 was derived from audited financial statements but does not include all disclosures required by GAAP. The accompanying unaudited condensed consolidated financial statements as of September 26, 2026 and for the fiscal quarters and three fiscal quarters ended September 26, 2026 and September 27, 2025, respectively,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2025 included in the Company’s 2025 Annual Report on Form 10-K, filed with the SEC on March 4, 2026 (the “Annual Report”). In the opinion of management, all adjustments, consisting only of normal recurring adjustments necessary for a fair statement of these condensed consolidated financial statements, have been included. The Company’s results of operations for the fiscal quarter and three</w:t>
      </w:r>
    </w:p>
    <w:p>
      <w:pPr>
        <w:spacing w:after="0" w:line="1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fiscal quarters ended September 26, 2026 are not necessarily indicative of the results of operations that may be expected for the fiscal year ending December 31, 2026 or other interim periods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year, its business is seasonal and weather is one of the principal external factors affecting the business. In general, net sales and net income are highest (or net loss is the lowest) during the second and third quarters, representing the peak months of swimming pool use, pool installation, and remodeling and repair activities. Severe weather may also affect net sales in all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Annual Report for a discussion of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has elected to “opt in” to the extended transition period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w:t>
      </w:r>
    </w:p>
    <w:p>
      <w:pPr>
        <w:spacing w:after="0" w:line="3" w:lineRule="exact"/>
        <w:rPr>
          <w:sz w:val="20"/>
          <w:szCs w:val="20"/>
          <w:color w:val="auto"/>
        </w:rPr>
      </w:pPr>
    </w:p>
    <w:p>
      <w:pPr>
        <w:ind w:right="160" w:firstLine="8"/>
        <w:spacing w:after="0" w:line="260"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longer qualifies as an emerging growth company, which will occur no later than December 31, 2026. The Company may choose to early adopt any new or revised accounting standards whenever such early adoption is permitted for private companies.</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(“ASU 2024-03”), which improves disclosures to provide more detailed information about a business entity’s expenses. ASU 2024-03 is effective for public business entities for fiscal years beginning after December 15, 2026. The amendments should be applied retrospectively to all prior periods presented in the financial statements, with early adoption permitted. The Company is currently evaluating ASU 2024-03 and its potential impact on the condensed consolidated financial statements.</w:t>
      </w:r>
    </w:p>
    <w:p>
      <w:pPr>
        <w:spacing w:after="0" w:line="2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(Topic 270) (“ASU 2025-11”), which improves the navigability of the required interim disclosures and clarifies when that guidance is applicable. ASU 2025-11 is effective for public business entities for interim reporting periods within annual fiscal years beginning after December 15, 2027. The amendments should be applied retrospectively to all prior periods presented in the financial statements, with early adoption permitted. The Company is currently evaluating ASU 2025-11 and its potential impact on the condensed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2025, the Company completed the acquisition of two autocover dealers located in New York and Tennessee for a purchase price of</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$5.6 million. In February 2026, the Company completed the acquisition of Freedom Pools in Australia for a purchase price of $15.4 million, including a holdback of $1.6 million that has been accrued for on the Company's condensed consolidated balance sheet. Each of these acquisitions qualified as a business combination. These transactions resulted in an increase to goodwill and intangibles, but were not material to the Company's condensed consolidated financial statements, and as a result, additional business combination disclosures for these acquisitions have been omitted.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fiscal quarters ended September 26, 2026 or September 27,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Term loans (see Note 7)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80" w:type="dxa"/>
            <w:vAlign w:val="bottom"/>
          </w:tcPr>
          <w:p>
            <w:pPr>
              <w:spacing w:after="0"/>
              <w:rPr>
                <w:sz w:val="16"/>
                <w:szCs w:val="16"/>
                <w:color w:val="auto"/>
              </w:rPr>
            </w:pPr>
          </w:p>
        </w:tc>
        <w:tc>
          <w:tcPr>
            <w:tcW w:w="278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2"/>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5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Term Loan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292,462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Term Loan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279,841</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279,841</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September 26, 2026 and December 31, 2025, the Company’s interest rate swap was an asset of $0.3 million and a liability of $1.1 million, respectively, which were recorded within other assets and other long-term liabilities, respectively, on the condensed consolidated balance sheets. See Note 7 for further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carrying amount of goodwill as of September 26, 2026 and as of December 31, 2025 was $161.7 million and $155.2 million, respectively. The change in the carrying value during the three fiscal quarters ended September 26, 2026 was primarily driven by the acquisition of Freedom Pools made in the first fiscal quarter of 2026.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as of September 26, 2026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12"/>
        </w:trPr>
        <w:tc>
          <w:tcPr>
            <w:tcW w:w="5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5"/>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5"/>
                <w:szCs w:val="15"/>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4"/>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1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101,731</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Patented technology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designs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128,949</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62"/>
        </w:trPr>
        <w:tc>
          <w:tcPr>
            <w:tcW w:w="50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recognized $7.4 million and $21.9 million of amortization expense related to intangible assets during the fiscal quarter and three fiscal quarters ended September 26, 2026. The Company recognized $7.2 million and $21.7 million of amortization expense related to intangible assets during the fiscal quarter and three fiscal quarters ended September 27, 2025.</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changes in the carrying values of dealer relationships, trade names and trademarks and backlog during the three fiscal quarters ended September 26, 2026 were driven primarily by the acquisition of Freedom Pools made in the first fiscal quarter of 2026.</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December 31, 2025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98"/>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9"/>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6"/>
                <w:szCs w:val="16"/>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11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50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105,204</w:t>
            </w: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Patented technology</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designs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w:t>
            </w: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140,354</w:t>
            </w: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50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268,073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fiscal years and thereafter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Estimated Future</w:t>
            </w:r>
          </w:p>
        </w:tc>
      </w:tr>
      <w:tr>
        <w:trPr>
          <w:trHeight w:val="175"/>
        </w:trPr>
        <w:tc>
          <w:tcPr>
            <w:tcW w:w="9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180" w:type="dxa"/>
            <w:vAlign w:val="bottom"/>
          </w:tcPr>
          <w:p>
            <w:pPr>
              <w:spacing w:after="0"/>
              <w:rPr>
                <w:sz w:val="16"/>
                <w:szCs w:val="16"/>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37"/>
        </w:trPr>
        <w:tc>
          <w:tcPr>
            <w:tcW w:w="9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90"/>
        </w:trPr>
        <w:tc>
          <w:tcPr>
            <w:tcW w:w="9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29,142</w:t>
            </w:r>
          </w:p>
        </w:tc>
      </w:tr>
      <w:tr>
        <w:trPr>
          <w:trHeight w:val="24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22,751</w:t>
            </w:r>
          </w:p>
        </w:tc>
      </w:tr>
      <w:tr>
        <w:trPr>
          <w:trHeight w:val="24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w:t>
            </w:r>
          </w:p>
        </w:tc>
      </w:tr>
      <w:tr>
        <w:trPr>
          <w:trHeight w:val="297"/>
        </w:trPr>
        <w:tc>
          <w:tcPr>
            <w:tcW w:w="9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141,847</w:t>
            </w:r>
          </w:p>
        </w:tc>
      </w:tr>
      <w:tr>
        <w:trPr>
          <w:trHeight w:val="261"/>
        </w:trPr>
        <w:tc>
          <w:tcPr>
            <w:tcW w:w="9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251,126</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net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00" w:type="dxa"/>
            <w:vAlign w:val="bottom"/>
          </w:tcPr>
          <w:p>
            <w:pPr>
              <w:spacing w:after="0"/>
              <w:rPr>
                <w:sz w:val="16"/>
                <w:szCs w:val="16"/>
                <w:color w:val="auto"/>
              </w:rPr>
            </w:pP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7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50,973</w:t>
            </w:r>
          </w:p>
        </w:tc>
      </w:tr>
      <w:tr>
        <w:trPr>
          <w:trHeight w:val="24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23,953</w:t>
            </w:r>
          </w:p>
        </w:tc>
      </w:tr>
      <w:tr>
        <w:trPr>
          <w:trHeight w:val="261"/>
        </w:trPr>
        <w:tc>
          <w:tcPr>
            <w:tcW w:w="7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outstanding long-term debt obligations consisted of the following (in thousands):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26, 2026</w:t>
            </w:r>
          </w:p>
        </w:tc>
      </w:tr>
      <w:tr>
        <w:trPr>
          <w:trHeight w:val="37"/>
        </w:trPr>
        <w:tc>
          <w:tcPr>
            <w:tcW w:w="7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5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New Term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Prior Term Loan</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Prior and New Revolving Credit Facilities</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r>
      <w:tr>
        <w:trPr>
          <w:trHeight w:val="40"/>
        </w:trPr>
        <w:tc>
          <w:tcPr>
            <w:tcW w:w="7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50"/>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292,462</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40"/>
        </w:trPr>
        <w:tc>
          <w:tcPr>
            <w:tcW w:w="7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84"/>
        </w:trPr>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290,212</w:t>
            </w:r>
          </w:p>
        </w:tc>
      </w:tr>
      <w:tr>
        <w:trPr>
          <w:trHeight w:val="27"/>
        </w:trPr>
        <w:tc>
          <w:tcPr>
            <w:tcW w:w="7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14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284,813</w:t>
      </w:r>
    </w:p>
    <w:p>
      <w:pPr>
        <w:spacing w:after="0" w:line="9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(4,972)</w:t>
      </w:r>
    </w:p>
    <w:p>
      <w:pPr>
        <w:spacing w:after="0" w:line="10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279,841</w:t>
      </w:r>
    </w:p>
    <w:p>
      <w:pPr>
        <w:spacing w:after="0" w:line="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(3,250)</w:t>
      </w:r>
    </w:p>
    <w:p>
      <w:pPr>
        <w:spacing w:after="0" w:line="104" w:lineRule="exact"/>
        <w:rPr>
          <w:sz w:val="20"/>
          <w:szCs w:val="20"/>
          <w:color w:val="auto"/>
        </w:rPr>
      </w:pPr>
    </w:p>
    <w:p>
      <w:pPr>
        <w:ind w:left="1100" w:hanging="1091"/>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1226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9380" w:space="100"/>
            <w:col w:w="1760"/>
          </w:cols>
          <w:pgMar w:left="320" w:top="121" w:right="339" w:bottom="1440" w:gutter="0" w:footer="0" w:header="0"/>
          <w:type w:val="continuous"/>
        </w:sectPr>
      </w:pP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20, 2026 (the "Closing Date"), Latham Pool Products and certain subsidiary guarantors entered into a new credit agreement (the "New Credit Agreement") with Jefferies Finance LLC, which provides a senior secured multicurrency revolving line of credit in an initial principal amount of $75.0 million, which includes a sub-limit for letters of credit (the "New Revolving Credit Facility"), and a U.S. Dollar senior secured term loan facility (the “New Term Loan”) in an initial principal amount of $300.0 million (collectively, the "Refinancing"). On the Closing Date, proceeds from the borrowings under the New Credit Agreement were used to repay and replace all outstanding obligations under, and terminate, the Credit and Guaranty Agreement, dated as of February 23, 2022, among Latham Pool Products, Latham International Manufacturing Corp. ("LIMC") and the other guarantors party thereto, the lenders party thereto and Barclays Bank PLC, as administrative agent (the "Prior Credit Agreement").</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New Credit Agreement was evaluated under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The borrowings under the Refinancing represent a loan syndication. As such, the New Credit Agreement was evaluated on a lender-by-lender basis and resulted in new borrowings, extinguishments and modifications depending on each lender's participation or lack thereof in the New Term Loan and the New Revolving Credit Facility. As part of the New Credit Agreement, $1.0 million of previously capitalized debt issuance costs were expensed within loss on extinguishment and modification of debt in the condensed consolidated statement of operations for the three fiscal quarters ended September 26, 2026.</w:t>
      </w:r>
    </w:p>
    <w:p>
      <w:pPr>
        <w:spacing w:after="0" w:line="21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including maintaining specific liquidity measurements. To the extent that outstanding usage of the New Revolving Credit Facility exceeds 40% of the commitments under the New Revolving Credit Facility as of the last day of any fiscal quarter, LIMC is required to be in compliance with a maximum First Lien Net Leverage Ratio (as defined below) of 5.20:1.00 as of the last day of such fiscal quarter.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New Credit Agreement contains customary mandatory prepayment provisions, including requirements to make mandatory prepayments with 50% of any excess cash flow and with 100% of the net cash proceeds from the incurrence of nonpermitted indebtedness, asset sales and casualty and condemnation events, in each case,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Revolving Credit Facility</w:t>
      </w:r>
    </w:p>
    <w:p>
      <w:pPr>
        <w:spacing w:after="0" w:line="22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The New Revolving Credit Facility may be utilized to finance working capital and other general corporate purposes and permits Latham Pool Products to borrow loans in U.S. Dollars, Canadian Dollars, Euros and Australian Dollars. The New Revolving Credit Facility matures on August 20, 2031. Loans outstanding under the New Revolving Credit Facility denominated in U.S. Dollars and Canadian Dollars bear interest, at the borrower’s option, at a rate per annum based on Term SOFR or the Term CORRA Rate (each, as defined in the New Credit Agreement), as applicable, plus a margin ranging from 3.25% to 3.50%, depending on the First Lien Net Leverage Ratio (as defined in the New Credit Agreement, the "First Lien Net Leverage Ratio"), or at a rate per annum based on the Alternate Base Rate or the Canadian Prime Rate (each, as defined in the New Credit Agreement), plus a margin ranging from 2.25% to 2.50%, depending on the First Lien Net Leverage Ratio. Loans outstanding under the New Revolving Credit Facility denominated in Euros or Australian Dollars bear interest based on EURIBOR or the BBSY (each, as defined in the New Credit Agreement), respectively, plus a margin ranging from 3.25% to 3.50%, depending on the First Lien Net Leverage Ratio. A commitment fee accrues on any unused portion of the commitments under the New Revolving Credit Facility. The commitment fee is due and payable quarterly in arrears, and accrues at a rate per annum ranging from 0.25% to 0.50%, depending on the First Lien Net Leverage Ratio. Borrowings under the New Revolving Credit Facility are not subject to amortization and are due at maturity.</w:t>
      </w:r>
    </w:p>
    <w:p>
      <w:pPr>
        <w:spacing w:after="0" w:line="18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New Revolving Credit Facility. The debt issuance costs were recorded within other assets on the condensed consolidated balance sheet and are being amortized over the life of the New Revolving Credit Facility.</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of September 26, 2026, there were no outstanding borrowings on the New Revolving Credit Facility and $75.0 million was available for future borrowing.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Term Loan</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New Credit Agreement, Latham Pool Products borrowed $300.0 million in term loans. The New Term Loan matures on August 20, 2033. Loans outstanding under the New Term Loan bear interest, at the borrower’s option, at a rate per annum based on Term SOFR (as defined in the New Credit Agreement), plus a margin of 4.00%, or based on the Alternate Base Rate (as defined in the New Credit Agreement), plus a margin of 3.00%. Loans under the New Term Loan are subject to scheduled quarterly amortization payments of $750,000, which represents 0.25% of the initial principal amount of the New Term Loan.</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recorded debt issuance costs of $5.2 million and $2.5 million of debt discount related to the New Term Loan as a direct reduction to the carrying amount of long-term debt on the condensed consolidated balance sheet.</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Outstanding borrowings under the New Term Loan as of September 26, 2026 were $292.5 million, net of unamortized discount and debt issuance costs of $7.5 million.</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26, 2026, the unamortized debt issuance costs and discount on the New Term Loan were $5.1 million and $2.4 million, respectively. The effective interest rate was 8.26% at September 26, 2026, including the impact of the Company’s interest rate swap.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Revolving Credit Facility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23, 2022, the Company entered into a revolving credit facility with Barclays Bank, PLC under the Prior Credit Agreement that was utilized to finance ongoing general corporate and working capital needs and permitted Latham Pool Products to borrow loans in U.S. Dollars, Canadian Dollars, Euros and Australian Dollars up to $75.0 million (the "Prior Revolving Credit Facility"). The Prior Revolving Credit Facility had a maturity date of February 23, 2027 but was terminated as of the Closing Date of the Refinancing.</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three fiscal quarters ended September 26, 2026, the Company repaid $35.0 million of outstanding borrowings on the Prior Revolving Credit Facility before the Refinancing.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Prior Credit Agreement, Latham Pool Products also borrowed $325.0 million in term loans (the "Prior Term Loan"). The Prior Term Loan was repaid and terminated as of the Closing Date of the Refinancing.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 associated with the Prior Credit Agreement was, and with the New Credit Agreement is, mitigated partially through interest rate swaps.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entered into an interest rate swap that was executed on March 10, 2023 (the “2023 Interest Rate Swap”). The 2023 Interest Rate Swap had an effective date of May 18, 2023 and a termination date of May 18, 2026. Under the terms of the 2023 Interest Rate Swap, the Company fixed its SOFR borrowing rate at 4.3725% on a notional amount of $161.0 million. The 2023 Interest Rate Swap was not designated as a hedging instrument for accounting purposes (see Note 4).</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Subsequently, the Company entered into a new interest rate swap that was executed on June 4, 2025 (the “2025 Interest Rate Swap”). As part of the 2025 Interest Rate Swap, the Company terminated the 2023 Interest Rate Swap prior to its May 18, 2026 termination date. The 2025 Interest Rate Swap became effective on May 19, 2025 and has a termination date of May 18, 2027. Under the terms of the 2025 Interest Rate Swap, the Company fixed its SOFR borrowing rate at 3.92% on a notional amount of $140.0 million. The 2025 Interest Rate Swap is not designated as a hedging instrument for accounting purposes (see Note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excluding the New Revolving Credit Facility, in the next five fiscal years, excluding any potential payments based on excess cash flow levels, are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20" w:type="dxa"/>
            <w:vAlign w:val="bottom"/>
          </w:tcPr>
          <w:p>
            <w:pPr>
              <w:spacing w:after="0"/>
              <w:rPr>
                <w:sz w:val="16"/>
                <w:szCs w:val="16"/>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New Term Loan</w:t>
            </w:r>
          </w:p>
        </w:tc>
      </w:tr>
      <w:tr>
        <w:trPr>
          <w:trHeight w:val="37"/>
        </w:trPr>
        <w:tc>
          <w:tcPr>
            <w:tcW w:w="96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7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40"/>
        </w:trPr>
        <w:tc>
          <w:tcPr>
            <w:tcW w:w="9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7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40"/>
        </w:trPr>
        <w:tc>
          <w:tcPr>
            <w:tcW w:w="9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7"/>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97"/>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288,000</w:t>
            </w:r>
          </w:p>
        </w:tc>
      </w:tr>
      <w:tr>
        <w:trPr>
          <w:trHeight w:val="315"/>
        </w:trPr>
        <w:tc>
          <w:tcPr>
            <w:tcW w:w="96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obligations under the New Credit Agreement are guaranteed by LIMC and the wholly-owned domestic subsidiaries of LIMC (other than Latham Pool Products) as set forth in the loan guaranty (the “Guarantors”), which was executed in connection with the New Credit Agreement. The obligations under the New Credit Agreement are secured by substantially all of the Guarantors’ tangible and intangible assets, including their accounts receivable, equipment, intellectual property and inventory. The New Credit Agreement also restricts payments and other distributions unless certain conditions are met, which could restrict the Company’s ability to pay dividends. The ownership chain between Latham Pool Products and the Company consists of a series of holding companies with no material assets, liabilities, or standalone operations other than indirect equity interests in Latham Pool Products.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PRODUCT WARRANTIES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37"/>
        </w:trPr>
        <w:tc>
          <w:tcPr>
            <w:tcW w:w="79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3"/>
        </w:trPr>
        <w:tc>
          <w:tcPr>
            <w:tcW w:w="7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8"/>
                <w:szCs w:val="18"/>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79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9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center"/>
              <w:ind w:left="796"/>
              <w:spacing w:after="0"/>
              <w:rPr>
                <w:sz w:val="20"/>
                <w:szCs w:val="20"/>
                <w:color w:val="auto"/>
              </w:rPr>
            </w:pPr>
            <w:r>
              <w:rPr>
                <w:rFonts w:ascii="Times New Roman" w:cs="Times New Roman" w:eastAsia="Times New Roman" w:hAnsi="Times New Roman"/>
                <w:sz w:val="18"/>
                <w:szCs w:val="18"/>
                <w:color w:val="auto"/>
                <w:w w:val="98"/>
              </w:rPr>
              <w:t>3,349</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ind w:left="794"/>
              <w:spacing w:after="0"/>
              <w:rPr>
                <w:sz w:val="20"/>
                <w:szCs w:val="20"/>
                <w:color w:val="auto"/>
              </w:rPr>
            </w:pPr>
            <w:r>
              <w:rPr>
                <w:rFonts w:ascii="Times New Roman" w:cs="Times New Roman" w:eastAsia="Times New Roman" w:hAnsi="Times New Roman"/>
                <w:sz w:val="18"/>
                <w:szCs w:val="18"/>
                <w:color w:val="auto"/>
                <w:w w:val="98"/>
              </w:rPr>
              <w:t>2,647</w:t>
            </w:r>
          </w:p>
        </w:tc>
      </w:tr>
      <w:tr>
        <w:trPr>
          <w:trHeight w:val="29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reserve</w:t>
            </w:r>
          </w:p>
        </w:tc>
        <w:tc>
          <w:tcPr>
            <w:tcW w:w="160" w:type="dxa"/>
            <w:vAlign w:val="bottom"/>
          </w:tcPr>
          <w:p>
            <w:pPr>
              <w:spacing w:after="0"/>
              <w:rPr>
                <w:sz w:val="24"/>
                <w:szCs w:val="24"/>
                <w:color w:val="auto"/>
              </w:rPr>
            </w:pPr>
          </w:p>
        </w:tc>
        <w:tc>
          <w:tcPr>
            <w:tcW w:w="1440" w:type="dxa"/>
            <w:vAlign w:val="bottom"/>
          </w:tcPr>
          <w:p>
            <w:pPr>
              <w:jc w:val="center"/>
              <w:ind w:left="796"/>
              <w:spacing w:after="0"/>
              <w:rPr>
                <w:sz w:val="20"/>
                <w:szCs w:val="20"/>
                <w:color w:val="auto"/>
              </w:rPr>
            </w:pPr>
            <w:r>
              <w:rPr>
                <w:rFonts w:ascii="Times New Roman" w:cs="Times New Roman" w:eastAsia="Times New Roman" w:hAnsi="Times New Roman"/>
                <w:sz w:val="18"/>
                <w:szCs w:val="18"/>
                <w:color w:val="auto"/>
                <w:w w:val="98"/>
              </w:rPr>
              <w:t>2,718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left="794"/>
              <w:spacing w:after="0"/>
              <w:rPr>
                <w:sz w:val="20"/>
                <w:szCs w:val="20"/>
                <w:color w:val="auto"/>
              </w:rPr>
            </w:pPr>
            <w:r>
              <w:rPr>
                <w:rFonts w:ascii="Times New Roman" w:cs="Times New Roman" w:eastAsia="Times New Roman" w:hAnsi="Times New Roman"/>
                <w:sz w:val="18"/>
                <w:szCs w:val="18"/>
                <w:color w:val="auto"/>
                <w:w w:val="98"/>
              </w:rPr>
              <w:t>2,338</w:t>
            </w:r>
          </w:p>
        </w:tc>
      </w:tr>
      <w:tr>
        <w:trPr>
          <w:trHeight w:val="29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8"/>
              </w:rPr>
              <w:t>(2,661)</w:t>
            </w:r>
          </w:p>
        </w:tc>
        <w:tc>
          <w:tcPr>
            <w:tcW w:w="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rPr>
              <w:t>(1,957)</w:t>
            </w:r>
          </w:p>
        </w:tc>
      </w:tr>
      <w:tr>
        <w:trPr>
          <w:trHeight w:val="29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fiscal quarter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center"/>
              <w:ind w:left="796"/>
              <w:spacing w:after="0"/>
              <w:rPr>
                <w:sz w:val="20"/>
                <w:szCs w:val="20"/>
                <w:color w:val="auto"/>
              </w:rPr>
            </w:pPr>
            <w:r>
              <w:rPr>
                <w:rFonts w:ascii="Times New Roman" w:cs="Times New Roman" w:eastAsia="Times New Roman" w:hAnsi="Times New Roman"/>
                <w:sz w:val="18"/>
                <w:szCs w:val="18"/>
                <w:color w:val="auto"/>
                <w:w w:val="98"/>
              </w:rPr>
              <w:t>3,406</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8"/>
                <w:szCs w:val="18"/>
                <w:color w:val="auto"/>
                <w:w w:val="98"/>
              </w:rPr>
              <w:t>3,028</w:t>
            </w:r>
          </w:p>
        </w:tc>
      </w:tr>
      <w:tr>
        <w:trPr>
          <w:trHeight w:val="21"/>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fiscal quarter and three fiscal quarters ended September 26, 2026 and September 27, 2025 were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6"/>
                <w:szCs w:val="16"/>
                <w:color w:val="auto"/>
              </w:rPr>
            </w:pPr>
          </w:p>
        </w:tc>
        <w:tc>
          <w:tcPr>
            <w:tcW w:w="29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37"/>
        </w:trPr>
        <w:tc>
          <w:tcPr>
            <w:tcW w:w="5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8"/>
                <w:szCs w:val="18"/>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50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7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w:t>
            </w:r>
          </w:p>
        </w:tc>
      </w:tr>
      <w:tr>
        <w:trPr>
          <w:trHeight w:val="29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9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9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9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w:t>
            </w:r>
          </w:p>
        </w:tc>
      </w:tr>
      <w:tr>
        <w:trPr>
          <w:trHeight w:val="21"/>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Operating and finance lease right-of-use assets and lease-related liabilities as of September 26, 2026 and December 31, 2025 were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37"/>
        </w:trPr>
        <w:tc>
          <w:tcPr>
            <w:tcW w:w="3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r>
      <w:tr>
        <w:trPr>
          <w:trHeight w:val="250"/>
        </w:trPr>
        <w:tc>
          <w:tcPr>
            <w:tcW w:w="3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4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r>
      <w:tr>
        <w:trPr>
          <w:trHeight w:val="243"/>
        </w:trPr>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r>
      <w:tr>
        <w:trPr>
          <w:trHeight w:val="262"/>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3840" w:type="dxa"/>
            <w:vAlign w:val="bottom"/>
            <w:tcBorders>
              <w:bottom w:val="single" w:sz="8" w:color="CCEEFF"/>
            </w:tcBorders>
            <w:shd w:val="clear" w:color="auto" w:fill="CCEEFF"/>
          </w:tcPr>
          <w:p>
            <w:pPr>
              <w:spacing w:after="0"/>
              <w:rPr>
                <w:sz w:val="22"/>
                <w:szCs w:val="22"/>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Lease-related liabilities:</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r>
        <w:trPr>
          <w:trHeight w:val="243"/>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40" w:type="dxa"/>
            <w:vAlign w:val="bottom"/>
          </w:tcPr>
          <w:p>
            <w:pPr>
              <w:spacing w:after="0"/>
              <w:rPr>
                <w:sz w:val="21"/>
                <w:szCs w:val="21"/>
                <w:color w:val="auto"/>
              </w:rPr>
            </w:pPr>
          </w:p>
        </w:tc>
      </w:tr>
      <w:tr>
        <w:trPr>
          <w:trHeight w:val="243"/>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r>
      <w:tr>
        <w:trPr>
          <w:trHeight w:val="243"/>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r>
      <w:tr>
        <w:trPr>
          <w:trHeight w:val="24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r>
      <w:tr>
        <w:trPr>
          <w:trHeight w:val="243"/>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r>
      <w:tr>
        <w:trPr>
          <w:trHeight w:val="243"/>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r>
      <w:tr>
        <w:trPr>
          <w:trHeight w:val="23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34,534</w:t>
            </w:r>
          </w:p>
        </w:tc>
        <w:tc>
          <w:tcPr>
            <w:tcW w:w="3840" w:type="dxa"/>
            <w:vAlign w:val="bottom"/>
          </w:tcPr>
          <w:p>
            <w:pPr>
              <w:spacing w:after="0"/>
              <w:rPr>
                <w:sz w:val="20"/>
                <w:szCs w:val="20"/>
                <w:color w:val="auto"/>
              </w:rPr>
            </w:pPr>
          </w:p>
        </w:tc>
      </w:tr>
      <w:tr>
        <w:trPr>
          <w:trHeight w:val="21"/>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September 26, 2026 and December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09803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188595"/>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8030" cy="188595"/>
                    </a:xfrm>
                    <a:prstGeom prst="rect">
                      <a:avLst/>
                    </a:prstGeom>
                    <a:noFill/>
                  </pic:spPr>
                </pic:pic>
              </a:graphicData>
            </a:graphic>
          </wp:anchor>
        </w:drawing>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188595"/>
                    </a:xfrm>
                    <a:prstGeom prst="rect">
                      <a:avLst/>
                    </a:prstGeom>
                    <a:noFill/>
                  </pic:spPr>
                </pic:pic>
              </a:graphicData>
            </a:graphic>
          </wp:anchor>
        </w:drawing>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Finance leases</w:t>
      </w:r>
    </w:p>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4"/>
          <w:szCs w:val="14"/>
          <w:b w:val="1"/>
          <w:bCs w:val="1"/>
          <w:color w:val="auto"/>
        </w:rPr>
        <w:t>September 26, 2026</w:t>
      </w:r>
      <w:r>
        <w:rPr>
          <w:sz w:val="20"/>
          <w:szCs w:val="20"/>
          <w:color w:val="auto"/>
        </w:rPr>
        <w:tab/>
      </w:r>
      <w:r>
        <w:rPr>
          <w:rFonts w:ascii="Times New Roman" w:cs="Times New Roman" w:eastAsia="Times New Roman" w:hAnsi="Times New Roman"/>
          <w:sz w:val="14"/>
          <w:szCs w:val="14"/>
          <w:b w:val="1"/>
          <w:bCs w:val="1"/>
          <w:color w:val="auto"/>
        </w:rPr>
        <w:t>December 31, 2025</w:t>
      </w:r>
    </w:p>
    <w:p>
      <w:pPr>
        <w:spacing w:after="0" w:line="200" w:lineRule="exact"/>
        <w:rPr>
          <w:sz w:val="20"/>
          <w:szCs w:val="20"/>
          <w:color w:val="auto"/>
        </w:rPr>
      </w:pPr>
    </w:p>
    <w:p>
      <w:pPr>
        <w:spacing w:after="0" w:line="226"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3.6</w:t>
      </w:r>
    </w:p>
    <w:p>
      <w:pPr>
        <w:spacing w:after="0" w:line="90" w:lineRule="exact"/>
        <w:rPr>
          <w:sz w:val="20"/>
          <w:szCs w:val="20"/>
          <w:color w:val="auto"/>
        </w:rPr>
      </w:pPr>
    </w:p>
    <w:p>
      <w:pPr>
        <w:jc w:val="right"/>
        <w:ind w:right="80"/>
        <w:spacing w:after="0"/>
        <w:tabs>
          <w:tab w:leader="none" w:pos="20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4.9</w:t>
      </w:r>
    </w:p>
    <w:p>
      <w:pPr>
        <w:spacing w:after="0" w:line="387" w:lineRule="exact"/>
        <w:rPr>
          <w:sz w:val="20"/>
          <w:szCs w:val="20"/>
          <w:color w:val="auto"/>
        </w:rPr>
      </w:pPr>
    </w:p>
    <w:p>
      <w:pPr>
        <w:jc w:val="right"/>
        <w:ind w:right="80"/>
        <w:spacing w:after="0"/>
        <w:tabs>
          <w:tab w:leader="none" w:pos="400" w:val="left"/>
        </w:tabs>
        <w:rPr>
          <w:sz w:val="20"/>
          <w:szCs w:val="20"/>
          <w:color w:val="auto"/>
        </w:rPr>
      </w:pPr>
      <w:r>
        <w:rPr>
          <w:rFonts w:ascii="Times New Roman" w:cs="Times New Roman" w:eastAsia="Times New Roman" w:hAnsi="Times New Roman"/>
          <w:sz w:val="18"/>
          <w:szCs w:val="18"/>
          <w:color w:val="auto"/>
        </w:rPr>
        <w:t>7.9 %</w:t>
      </w:r>
      <w:r>
        <w:rPr>
          <w:sz w:val="20"/>
          <w:szCs w:val="20"/>
          <w:color w:val="auto"/>
        </w:rPr>
        <w:tab/>
      </w:r>
      <w:r>
        <w:rPr>
          <w:rFonts w:ascii="Times New Roman" w:cs="Times New Roman" w:eastAsia="Times New Roman" w:hAnsi="Times New Roman"/>
          <w:sz w:val="17"/>
          <w:szCs w:val="17"/>
          <w:color w:val="auto"/>
        </w:rPr>
        <w:t>8.1 %</w:t>
      </w:r>
    </w:p>
    <w:p>
      <w:pPr>
        <w:spacing w:after="0" w:line="90" w:lineRule="exact"/>
        <w:rPr>
          <w:sz w:val="20"/>
          <w:szCs w:val="20"/>
          <w:color w:val="auto"/>
        </w:rPr>
      </w:pPr>
    </w:p>
    <w:p>
      <w:pPr>
        <w:jc w:val="right"/>
        <w:ind w:right="80"/>
        <w:spacing w:after="0"/>
        <w:tabs>
          <w:tab w:leader="none" w:pos="400" w:val="left"/>
        </w:tabs>
        <w:rPr>
          <w:sz w:val="20"/>
          <w:szCs w:val="20"/>
          <w:color w:val="auto"/>
        </w:rPr>
      </w:pPr>
      <w:r>
        <w:rPr>
          <w:rFonts w:ascii="Times New Roman" w:cs="Times New Roman" w:eastAsia="Times New Roman" w:hAnsi="Times New Roman"/>
          <w:sz w:val="18"/>
          <w:szCs w:val="18"/>
          <w:color w:val="auto"/>
        </w:rPr>
        <w:t>6.5 %</w:t>
      </w:r>
      <w:r>
        <w:rPr>
          <w:sz w:val="20"/>
          <w:szCs w:val="20"/>
          <w:color w:val="auto"/>
        </w:rPr>
        <w:tab/>
      </w:r>
      <w:r>
        <w:rPr>
          <w:rFonts w:ascii="Times New Roman" w:cs="Times New Roman" w:eastAsia="Times New Roman" w:hAnsi="Times New Roman"/>
          <w:sz w:val="17"/>
          <w:szCs w:val="17"/>
          <w:color w:val="auto"/>
        </w:rPr>
        <w:t>5.9 %</w:t>
      </w:r>
    </w:p>
    <w:p>
      <w:pPr>
        <w:spacing w:after="0" w:line="200" w:lineRule="exact"/>
        <w:rPr>
          <w:sz w:val="20"/>
          <w:szCs w:val="20"/>
          <w:color w:val="auto"/>
        </w:rPr>
      </w:pPr>
    </w:p>
    <w:p>
      <w:pPr>
        <w:sectPr>
          <w:pgSz w:w="11900" w:h="16838" w:orient="portrait"/>
          <w:cols w:equalWidth="0" w:num="2">
            <w:col w:w="7040" w:space="720"/>
            <w:col w:w="3480"/>
          </w:cols>
          <w:pgMar w:left="320" w:top="121" w:right="339" w:bottom="1440" w:gutter="0" w:footer="0" w:header="0"/>
          <w:type w:val="continuous"/>
        </w:sectPr>
      </w:pP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condensed consolidated statements of cash flows (in thousands):</w:t>
      </w:r>
    </w:p>
    <w:p>
      <w:pPr>
        <w:spacing w:after="0" w:line="23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41910</wp:posOffset>
            </wp:positionV>
            <wp:extent cx="2082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89" w:lineRule="exact"/>
        <w:rPr>
          <w:sz w:val="20"/>
          <w:szCs w:val="20"/>
          <w:color w:val="auto"/>
        </w:rPr>
      </w:pPr>
    </w:p>
    <w:p>
      <w:pPr>
        <w:ind w:left="8160"/>
        <w:spacing w:after="0"/>
        <w:tabs>
          <w:tab w:leader="none" w:pos="9820" w:val="left"/>
        </w:tabs>
        <w:rPr>
          <w:sz w:val="20"/>
          <w:szCs w:val="20"/>
          <w:color w:val="auto"/>
        </w:rPr>
      </w:pPr>
      <w:r>
        <w:rPr>
          <w:rFonts w:ascii="Times New Roman" w:cs="Times New Roman" w:eastAsia="Times New Roman" w:hAnsi="Times New Roman"/>
          <w:sz w:val="14"/>
          <w:szCs w:val="14"/>
          <w:b w:val="1"/>
          <w:bCs w:val="1"/>
          <w:color w:val="auto"/>
        </w:rPr>
        <w:t>September 26, 2026</w:t>
      </w:r>
      <w:r>
        <w:rPr>
          <w:sz w:val="20"/>
          <w:szCs w:val="20"/>
          <w:color w:val="auto"/>
        </w:rPr>
        <w:tab/>
      </w:r>
      <w:r>
        <w:rPr>
          <w:rFonts w:ascii="Times New Roman" w:cs="Times New Roman" w:eastAsia="Times New Roman" w:hAnsi="Times New Roman"/>
          <w:sz w:val="14"/>
          <w:szCs w:val="14"/>
          <w:b w:val="1"/>
          <w:bCs w:val="1"/>
          <w:color w:val="auto"/>
        </w:rPr>
        <w:t>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p>
      <w:pPr>
        <w:ind w:left="100"/>
        <w:spacing w:after="0"/>
        <w:tabs>
          <w:tab w:leader="none" w:pos="7960" w:val="left"/>
          <w:tab w:leader="none" w:pos="9060" w:val="left"/>
          <w:tab w:leader="none" w:pos="9640" w:val="left"/>
          <w:tab w:leader="none" w:pos="10740" w:val="left"/>
        </w:tabs>
        <w:rPr>
          <w:sz w:val="20"/>
          <w:szCs w:val="20"/>
          <w:color w:val="auto"/>
        </w:rPr>
      </w:pPr>
      <w:r>
        <w:rPr>
          <w:rFonts w:ascii="Times New Roman" w:cs="Times New Roman" w:eastAsia="Times New Roman" w:hAnsi="Times New Roman"/>
          <w:sz w:val="18"/>
          <w:szCs w:val="18"/>
          <w:color w:val="auto"/>
        </w:rPr>
        <w:t>Operating cash flows for operating leases</w:t>
      </w:r>
      <w:r>
        <w:rPr>
          <w:sz w:val="20"/>
          <w:szCs w:val="20"/>
          <w:color w:val="auto"/>
        </w:rPr>
        <w:tab/>
      </w:r>
      <w:r>
        <w:rPr>
          <w:rFonts w:ascii="Times New Roman" w:cs="Times New Roman" w:eastAsia="Times New Roman" w:hAnsi="Times New Roman"/>
          <w:sz w:val="36"/>
          <w:szCs w:val="36"/>
          <w:color w:val="auto"/>
          <w:vertAlign w:val="subscript"/>
        </w:rPr>
        <w:t>$</w:t>
      </w:r>
      <w:r>
        <w:rPr>
          <w:sz w:val="20"/>
          <w:szCs w:val="20"/>
          <w:color w:val="auto"/>
        </w:rPr>
        <w:tab/>
      </w:r>
      <w:r>
        <w:rPr>
          <w:rFonts w:ascii="Times New Roman" w:cs="Times New Roman" w:eastAsia="Times New Roman" w:hAnsi="Times New Roman"/>
          <w:sz w:val="36"/>
          <w:szCs w:val="36"/>
          <w:color w:val="auto"/>
          <w:vertAlign w:val="subscript"/>
        </w:rPr>
        <w:t>5,693</w:t>
      </w:r>
      <w:r>
        <w:rPr>
          <w:rFonts w:ascii="Times New Roman" w:cs="Times New Roman" w:eastAsia="Times New Roman" w:hAnsi="Times New Roman"/>
          <w:sz w:val="36"/>
          <w:szCs w:val="36"/>
          <w:color w:val="auto"/>
        </w:rPr>
        <w:tab/>
      </w:r>
      <w:r>
        <w:rPr>
          <w:rFonts w:ascii="Times New Roman" w:cs="Times New Roman" w:eastAsia="Times New Roman" w:hAnsi="Times New Roman"/>
          <w:sz w:val="36"/>
          <w:szCs w:val="36"/>
          <w:color w:val="auto"/>
          <w:vertAlign w:val="subscript"/>
        </w:rPr>
        <w:t>$</w:t>
      </w:r>
      <w:r>
        <w:rPr>
          <w:sz w:val="20"/>
          <w:szCs w:val="20"/>
          <w:color w:val="auto"/>
        </w:rPr>
        <w:tab/>
      </w:r>
      <w:r>
        <w:rPr>
          <w:rFonts w:ascii="Times New Roman" w:cs="Times New Roman" w:eastAsia="Times New Roman" w:hAnsi="Times New Roman"/>
          <w:sz w:val="26"/>
          <w:szCs w:val="26"/>
          <w:color w:val="auto"/>
          <w:vertAlign w:val="subscript"/>
        </w:rPr>
        <w:t>5,589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fiscal year maturities of operating and finance lease liabilities as of September 26, 2026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80" w:type="dxa"/>
            <w:vAlign w:val="bottom"/>
          </w:tcPr>
          <w:p>
            <w:pPr>
              <w:spacing w:after="0"/>
              <w:rPr>
                <w:sz w:val="16"/>
                <w:szCs w:val="16"/>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2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year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r>
      <w:tr>
        <w:trPr>
          <w:trHeight w:val="24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w:t>
            </w:r>
          </w:p>
        </w:tc>
      </w:tr>
      <w:tr>
        <w:trPr>
          <w:trHeight w:val="237"/>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42,165</w:t>
            </w:r>
          </w:p>
        </w:tc>
      </w:tr>
      <w:tr>
        <w:trPr>
          <w:trHeight w:val="24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(6,639)</w:t>
            </w:r>
          </w:p>
        </w:tc>
      </w:tr>
      <w:tr>
        <w:trPr>
          <w:trHeight w:val="262"/>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6"/>
                <w:szCs w:val="16"/>
                <w:color w:val="auto"/>
              </w:rPr>
            </w:pPr>
          </w:p>
        </w:tc>
        <w:tc>
          <w:tcPr>
            <w:tcW w:w="294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37"/>
        </w:trPr>
        <w:tc>
          <w:tcPr>
            <w:tcW w:w="5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8"/>
                <w:szCs w:val="18"/>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50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In-ground Swimming Pools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211,711</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123,749</w:t>
            </w: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Liners</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110,502</w:t>
            </w:r>
          </w:p>
        </w:tc>
      </w:tr>
      <w:tr>
        <w:trPr>
          <w:trHeight w:val="237"/>
        </w:trPr>
        <w:tc>
          <w:tcPr>
            <w:tcW w:w="50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182,175</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496,964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445,962</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fiscal quarter and three fiscal quarters ended September 26, 2026 was 19.7% and 27.8%, respectively, compared to 47.9% and 32.0%, respectively, for the fiscal quarter and three fiscal quarters ended September 27, 2025. The differences between the U.S. federal statutory income tax rate and the Company's effective income tax rates for the fiscal quarter ended September 26, 2026 and the fiscal quarter ended September 27, 2025 were primarily attributable to the jurisdictional mix of income, the discrete impact of stock-based compensation forfeitures or windfalls and exercises and the effects of branch accounting for Latham Canada.</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maintained the 21% corporate tax rate and made permanent many of the beneficial expired and expiring tax provisions originally enacted in the Tax Cuts and Jobs Act of 2017, including the immediate expensing of domestic research and development expenditures, more favorable interest deductibility and 100% bonus depreciation with effective dates in 2025. Revisions to the international tax framework are effective in 2026. The OBBBA did not have a material impact on the Company's effective tax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On April 12, 2021, the Company’s stockholders approved the Latham Group, Inc. 2021 Omnibus Equity Incentive Plan (as amended, the “2021 Omnibus Equity Plan”), which became effective on April 22, 2021, and was further amended on May 2, 2023 and April 30, 2026. Such amendments, among other things, collectively increased the maximum aggregate number of shares reserved for issuance under the 2021 Omnibus Equity Plan to 24,570,212 shares.</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2021 Omnibus Equity Plan provides for the issuance of incentive stock options, non-qualified stock options, stock appreciation rights, restricted stock, restricted stock units, performance stock units and other stock-based and cash-based awards.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6"/>
                <w:szCs w:val="16"/>
                <w:color w:val="auto"/>
              </w:rPr>
            </w:pPr>
          </w:p>
        </w:tc>
        <w:tc>
          <w:tcPr>
            <w:tcW w:w="294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37"/>
        </w:trPr>
        <w:tc>
          <w:tcPr>
            <w:tcW w:w="5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50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r>
    </w:tbl>
    <w:p>
      <w:pPr>
        <w:spacing w:after="0" w:line="29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September 26, 2026, total unrecognized stock-based compensation expense related to all unvested stock-based awards was $9.8 million, which is expected to be recognized over a weighted-average period of 2.2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three fiscal quarters ended September 26, 2026: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7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90"/>
        </w:trPr>
        <w:tc>
          <w:tcPr>
            <w:tcW w:w="7960" w:type="dxa"/>
            <w:vAlign w:val="bottom"/>
          </w:tcPr>
          <w:p>
            <w:pPr>
              <w:spacing w:after="0"/>
              <w:rPr>
                <w:sz w:val="16"/>
                <w:szCs w:val="16"/>
                <w:color w:val="auto"/>
              </w:rPr>
            </w:pPr>
          </w:p>
        </w:tc>
        <w:tc>
          <w:tcPr>
            <w:tcW w:w="16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3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37"/>
        </w:trPr>
        <w:tc>
          <w:tcPr>
            <w:tcW w:w="79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7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3,335,594</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40"/>
        </w:trPr>
        <w:tc>
          <w:tcPr>
            <w:tcW w:w="79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7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(1,213,999)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(746,468)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40"/>
        </w:trPr>
        <w:tc>
          <w:tcPr>
            <w:tcW w:w="79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30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26, 2026</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2,297,758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options activity during the three fiscal quarters ended September 26, 2026: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8"/>
                <w:szCs w:val="18"/>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1,150,712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(100,757)</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26, 2026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1,034,393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26,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1,034,393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26, 2026</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1,031,811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three fiscal quarters ended September 26, 2026: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080" w:type="dxa"/>
            <w:vAlign w:val="bottom"/>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20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8"/>
                <w:szCs w:val="18"/>
                <w:color w:val="auto"/>
              </w:rPr>
            </w:pPr>
          </w:p>
        </w:tc>
        <w:tc>
          <w:tcPr>
            <w:tcW w:w="12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514,503</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907,591</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6.44</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(200,719)</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(13,569)</w:t>
            </w:r>
          </w:p>
        </w:tc>
        <w:tc>
          <w:tcPr>
            <w:tcW w:w="8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3.24</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26,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1,207,806</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5.59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26, 2026</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1,207,806</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5.59</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 exercisable at September 26,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158,960</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During the year ended December 31, 2025, the Compensation Committee of the Board of Directors of the Company approved the grant of performance stock units (“PSUs”) as a portion of the annual equity award to the Company’s senior management. The 2025 PSU program includes three equal tranches of grants. Each tranche has an annual performance period, with performance goals established for the first tranche of PSUs granted in 2025 in dollars, and second and third tranches of PSUs granted or to be granted in 2026 and 2027, respectively, as a percentage of growth from actual performance in the prior year. Any earned PSUs cliff vest on the third anniversary of the grant date for the first tranche. Thirty-three percent of the target number of PSUs awarded on each grant date will be earned at 0% to 200% of the target number of PSUs based on the Company’s achievement of the applicable Adjusted EBITDA performance goal (with 100% of PSUs being earned at target performance, and linear interpolation between threshold and target performance and between target and maximum performance) as defined in the award agreement, for each year of the three-year performance period beginning on January 1, 2025 and ending December 31, 2027. The first and second tranches of PSUs under the 2025 PSU program were granted in March 2025 and 2026, respectively.</w:t>
      </w:r>
    </w:p>
    <w:p>
      <w:pPr>
        <w:spacing w:after="0" w:line="212"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During the three fiscal quarters ended September 26, 2026, additional PSU grants were approved for the 2026 PSU program. The 2026 PSU program includes three equal tranches of grants. Each tranche has an annual performance period, with performance goals established for the first tranche of PSUs granted in 2026 in dollars, and second and third tranches of PSUs to be granted in 2027 and 2028, respectively, as a percentage of growth from actual performance in the prior year. Any earned PSUs cliff vest on the third anniversary of the grant date for the first tranche. Thirty-three percent of the target number of PSUs awarded on each grant date will be earned at 0% to 200% of the target number of PSUs based on the Company’s achievement of the applicable Adjusted EBITDA performance goal (with 100% of PSUs being earned at target performance, and linear interpolation between threshold and target performance and between target and maximum performance) as defined in the award agreement, for each year of the three-year performance period beginning on January 1, 2026 and ending December 31, 2028. The first tranche of PSUs under the 2026 PSU program was granted in March 2026.</w:t>
      </w:r>
    </w:p>
    <w:p>
      <w:pPr>
        <w:spacing w:after="0" w:line="22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Adjusted EBITDA is considered a performance condition and the grant date fair value corresponds with management’s expectation of the probable outcome of the performance condition as of the grant date. The grant date fair value was determined based on the fair market value of the Company’s stock at market close on the grant date multiplied by the target number of shares subject to the award and adjusted for management’s expectation of the probable outcome of the performance condition. The probability of achieving the performance criteria is assessed quarterly during the performance period. Compensation expense related to unvested PSUs is recognized ratably over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Company’s PSU activity during the three fiscal quarters ended September 26, 2026:</w:t>
      </w:r>
    </w:p>
    <w:p>
      <w:pPr>
        <w:spacing w:after="0" w:line="300"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4"/>
          <w:szCs w:val="14"/>
          <w:b w:val="1"/>
          <w:bCs w:val="1"/>
          <w:color w:val="auto"/>
        </w:rPr>
        <w:t>Weighted-</w:t>
      </w:r>
    </w:p>
    <w:p>
      <w:pPr>
        <w:spacing w:after="0" w:line="29"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b w:val="1"/>
          <w:bCs w:val="1"/>
          <w:color w:val="auto"/>
        </w:rPr>
        <w:t>Average</w:t>
      </w:r>
    </w:p>
    <w:p>
      <w:pPr>
        <w:spacing w:after="0" w:line="2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4"/>
          <w:szCs w:val="14"/>
          <w:b w:val="1"/>
          <w:bCs w:val="1"/>
          <w:color w:val="auto"/>
        </w:rPr>
        <w:t>Grant Date</w:t>
      </w:r>
    </w:p>
    <w:p>
      <w:pPr>
        <w:spacing w:after="0" w:line="15" w:lineRule="exact"/>
        <w:rPr>
          <w:sz w:val="20"/>
          <w:szCs w:val="20"/>
          <w:color w:val="auto"/>
        </w:rPr>
      </w:pPr>
    </w:p>
    <w:p>
      <w:pPr>
        <w:ind w:left="8540"/>
        <w:spacing w:after="0"/>
        <w:tabs>
          <w:tab w:leader="none" w:pos="1010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Adjustment for performance achievement </w:t>
      </w:r>
      <w:r>
        <w:rPr>
          <w:rFonts w:ascii="Times New Roman" w:cs="Times New Roman" w:eastAsia="Times New Roman" w:hAnsi="Times New Roman"/>
          <w:sz w:val="22"/>
          <w:szCs w:val="22"/>
          <w:color w:val="auto"/>
          <w:vertAlign w:val="superscript"/>
        </w:rPr>
        <w:t>(1)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70"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at September 26, 2026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941,803</w:t>
            </w:r>
          </w:p>
        </w:tc>
        <w:tc>
          <w:tcPr>
            <w:tcW w:w="8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97"/>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314,026</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97"/>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(190,328)</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97"/>
        </w:trPr>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(277,032)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40"/>
        </w:trPr>
        <w:tc>
          <w:tcPr>
            <w:tcW w:w="1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50"/>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788,469</w:t>
            </w:r>
          </w:p>
        </w:tc>
        <w:tc>
          <w:tcPr>
            <w:tcW w:w="8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41"/>
        </w:trPr>
        <w:tc>
          <w:tcPr>
            <w:tcW w:w="1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-796925</wp:posOffset>
            </wp:positionV>
            <wp:extent cx="71323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-419735</wp:posOffset>
            </wp:positionV>
            <wp:extent cx="71323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40" w:space="720"/>
            <w:col w:w="3280"/>
          </w:cols>
          <w:pgMar w:left="320" w:top="121" w:right="339" w:bottom="1440" w:gutter="0" w:footer="0" w:header="0"/>
          <w:type w:val="continuous"/>
        </w:sectPr>
      </w:pPr>
    </w:p>
    <w:p>
      <w:pPr>
        <w:spacing w:after="0" w:line="92" w:lineRule="exact"/>
        <w:rPr>
          <w:sz w:val="20"/>
          <w:szCs w:val="20"/>
          <w:color w:val="auto"/>
        </w:rPr>
      </w:pPr>
    </w:p>
    <w:p>
      <w:pPr>
        <w:ind w:left="660" w:right="240" w:hanging="328"/>
        <w:spacing w:after="0" w:line="282"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previously granted PSUs based on the Company’s performance expectations as of the end of each respective fiscal year.</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358,180 PSUs could potentially be included if the maximum performance level of 200% is earned for all PSUs granted on or after January 1, 2025 and outstanding as of September 26, 2026.</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attributable to common stockholders was calculated as follows (in thousands, except share and per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Pr>
          <w:p>
            <w:pPr>
              <w:spacing w:after="0"/>
              <w:rPr>
                <w:sz w:val="16"/>
                <w:szCs w:val="16"/>
                <w:color w:val="auto"/>
              </w:rPr>
            </w:pPr>
          </w:p>
        </w:tc>
        <w:tc>
          <w:tcPr>
            <w:tcW w:w="29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37"/>
        </w:trPr>
        <w:tc>
          <w:tcPr>
            <w:tcW w:w="5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8"/>
                <w:szCs w:val="18"/>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50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97"/>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18,135</w:t>
            </w: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57"/>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0"/>
        </w:trPr>
        <w:tc>
          <w:tcPr>
            <w:tcW w:w="5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97"/>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117,690,489</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116,603,331</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117,360,560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116,323,609</w:t>
            </w:r>
          </w:p>
        </w:tc>
      </w:tr>
      <w:tr>
        <w:trPr>
          <w:trHeight w:val="277"/>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119,797,839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119,907,619</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119,756,831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119,720,706</w:t>
            </w: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97"/>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75"/>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26, 2026 and December 31, 2025, 117,750,570 and 116,766,927 shares of common stock were issued and outstanding, respectively.</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income per share because the effect was anti-dilutive: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6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06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37"/>
        </w:trPr>
        <w:tc>
          <w:tcPr>
            <w:tcW w:w="502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13"/>
        </w:trPr>
        <w:tc>
          <w:tcPr>
            <w:tcW w:w="502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50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tcPr>
          <w:p>
            <w:pPr>
              <w:spacing w:after="0"/>
              <w:rPr>
                <w:sz w:val="24"/>
                <w:szCs w:val="24"/>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236,449</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240,049</w:t>
            </w: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1,026,832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1,031,911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1,068,397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1,221,363</w:t>
            </w: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894,095</w:t>
            </w:r>
          </w:p>
        </w:tc>
        <w:tc>
          <w:tcPr>
            <w:tcW w:w="100" w:type="dxa"/>
            <w:vAlign w:val="bottom"/>
          </w:tcPr>
          <w:p>
            <w:pPr>
              <w:spacing w:after="0"/>
              <w:rPr>
                <w:sz w:val="24"/>
                <w:szCs w:val="24"/>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889,183</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132,414</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conducts business as one operating and reportable segment that designs, manufactures, and markets in-ground swimming pools, pool covers, and pool liners. The Company’s Chief Executive Officer, who is the chief operating decision maker (“CODM”), reviews financial information presented on a consolidated basis for purposes of assessing financial performance and allocating resources.</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reports consolidated net income (loss), as management believes that is the measure most consistent with the measurement principles in the Company’s consolidated financial statements. Consolidated net income (loss) is used by the CODM predominantly in the annual budget and forecasting, including consideration of budget-to-actual variances when making decisions about the allocation of operating and capital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the Company’s single segment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60" w:type="dxa"/>
            <w:vAlign w:val="bottom"/>
          </w:tcPr>
          <w:p>
            <w:pPr>
              <w:spacing w:after="0"/>
              <w:rPr>
                <w:sz w:val="16"/>
                <w:szCs w:val="16"/>
                <w:color w:val="auto"/>
              </w:rPr>
            </w:pPr>
          </w:p>
        </w:tc>
        <w:tc>
          <w:tcPr>
            <w:tcW w:w="310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r>
      <w:tr>
        <w:trPr>
          <w:trHeight w:val="37"/>
        </w:trPr>
        <w:tc>
          <w:tcPr>
            <w:tcW w:w="4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3"/>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40" w:type="dxa"/>
            <w:vAlign w:val="bottom"/>
          </w:tcPr>
          <w:p>
            <w:pPr>
              <w:spacing w:after="0"/>
              <w:rPr>
                <w:sz w:val="18"/>
                <w:szCs w:val="18"/>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37"/>
        </w:trPr>
        <w:tc>
          <w:tcPr>
            <w:tcW w:w="46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r>
      <w:tr>
        <w:trPr>
          <w:trHeight w:val="243"/>
        </w:trPr>
        <w:tc>
          <w:tcPr>
            <w:tcW w:w="4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cost of sales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279,229</w:t>
            </w:r>
          </w:p>
        </w:tc>
      </w:tr>
      <w:tr>
        <w:trPr>
          <w:trHeight w:val="243"/>
        </w:trPr>
        <w:tc>
          <w:tcPr>
            <w:tcW w:w="46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selling, general and administrative expense</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79,427</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w:t>
            </w:r>
          </w:p>
        </w:tc>
      </w:tr>
      <w:tr>
        <w:trPr>
          <w:trHeight w:val="243"/>
        </w:trPr>
        <w:tc>
          <w:tcPr>
            <w:tcW w:w="46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22,340</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r>
      <w:tr>
        <w:trPr>
          <w:trHeight w:val="243"/>
        </w:trPr>
        <w:tc>
          <w:tcPr>
            <w:tcW w:w="46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43"/>
        </w:trPr>
        <w:tc>
          <w:tcPr>
            <w:tcW w:w="4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43"/>
        </w:trPr>
        <w:tc>
          <w:tcPr>
            <w:tcW w:w="46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(6)</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w:t>
            </w:r>
          </w:p>
        </w:tc>
      </w:tr>
      <w:tr>
        <w:trPr>
          <w:trHeight w:val="243"/>
        </w:trPr>
        <w:tc>
          <w:tcPr>
            <w:tcW w:w="46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Loss on extinguishment and modification of debt</w:t>
            </w:r>
            <w:r>
              <w:rPr>
                <w:rFonts w:ascii="Times New Roman" w:cs="Times New Roman" w:eastAsia="Times New Roman" w:hAnsi="Times New Roman"/>
                <w:sz w:val="23"/>
                <w:szCs w:val="23"/>
                <w:color w:val="auto"/>
                <w:vertAlign w:val="superscript"/>
              </w:rPr>
              <w:t>(7)</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43"/>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w:t>
            </w:r>
          </w:p>
        </w:tc>
      </w:tr>
      <w:tr>
        <w:trPr>
          <w:trHeight w:val="261"/>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80" w:right="140" w:hanging="248"/>
        <w:spacing w:after="0" w:line="282"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sales includes total cost of sales (as presented in the condensed consolidated statements of operations) excluding depreciation, stock-based compensation, restructuring charges, and strategic initiative costs.</w:t>
      </w:r>
    </w:p>
    <w:p>
      <w:pPr>
        <w:spacing w:after="0" w:line="161" w:lineRule="exact"/>
        <w:rPr>
          <w:rFonts w:ascii="Times New Roman" w:cs="Times New Roman" w:eastAsia="Times New Roman" w:hAnsi="Times New Roman"/>
          <w:sz w:val="18"/>
          <w:szCs w:val="18"/>
          <w:color w:val="auto"/>
        </w:rPr>
      </w:pPr>
    </w:p>
    <w:p>
      <w:pPr>
        <w:ind w:left="580" w:right="300" w:hanging="248"/>
        <w:spacing w:after="0" w:line="266"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general and administrative expense includes total selling, general and administrative expense (as presented in the condensed consolidated statements of operations) excluding depreciation, amortization, stock-based compensation, strategic initiative costs and acquisition and integration related costs.</w:t>
      </w:r>
    </w:p>
    <w:p>
      <w:pPr>
        <w:spacing w:after="0" w:line="17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finance lease amortization.</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225" w:lineRule="exact"/>
        <w:rPr>
          <w:rFonts w:ascii="Times New Roman" w:cs="Times New Roman" w:eastAsia="Times New Roman" w:hAnsi="Times New Roman"/>
          <w:sz w:val="18"/>
          <w:szCs w:val="18"/>
          <w:color w:val="auto"/>
        </w:rPr>
      </w:pPr>
    </w:p>
    <w:p>
      <w:pPr>
        <w:ind w:left="580" w:right="360" w:hanging="248"/>
        <w:spacing w:after="0" w:line="282" w:lineRule="auto"/>
        <w:tabs>
          <w:tab w:leader="none" w:pos="5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including the earn-out related to the Coverstar Central acquisition, as well as other costs related to potential transactions.</w:t>
      </w:r>
    </w:p>
    <w:p>
      <w:pPr>
        <w:spacing w:after="0" w:line="16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that include severance and other expenses for our program to optimize certain operational and administrative functions.</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on extinguishment and modification of debt in connection with the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1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On October 27, 2026, the Latham Board of Directors approved a stock repurchase program (the “Repurchase Program”) which authorized the Company to repurchase up to $100 million of the Company’s shares of common stock over the next three years. The Company may effect these repurchases in open</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2025 Annual Report on Form 10-K filed with the Securities and Exchange Commission (“SEC”) on March 4, 2026 (the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acquisitions and related benefits,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many of which are outside our control, which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and as described in other subsequent reports we file with the SEC, including elsewhere in this Quarterly Report on Form 10-Q. For similar reasons, our past results may not be a reliable indicator of future performance or trends. We encourage you to read this report and our other filings with the SEC carefully. You also should be aware that these risk factors and other information do not describe every risk that we face. New emerging risks and uncertainties not presently known to us or that we currently deem immaterial also may impair our business, financial condition, results of operations and cash flows. We operate in a very competitive and rapidly changing environment, and new risks emerge from time to time that may impair our business, financial condition, results of operations and cash flows.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1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further do not reflect the potential impact of any future acquisitions, mergers, dispositions, joint ventures, or investments we may undertake. We qualify all of our forward-looking statements by these cautionary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We are Latham, The Pool Company</w:t>
      </w:r>
      <w:r>
        <w:rPr>
          <w:rFonts w:ascii="Times New Roman" w:cs="Times New Roman" w:eastAsia="Times New Roman" w:hAnsi="Times New Roman"/>
          <w:sz w:val="6"/>
          <w:szCs w:val="6"/>
          <w:color w:val="auto"/>
        </w:rPr>
        <w:t>TM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70 years, we offer the industry’s broadest portfolio of pools and related products, including in-ground swimming pools, pool covers, and pool liners.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15 years. We support our dealer network with business development tools, co-branded marketing programs, and in-house training.</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8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Our operations consist of approximately 1,900 employees on average across approximately 40 locations. The broad geographic reach of our national manufacturing and distribution network allows us to service our customers on short lead times and to deliver our products in a cost-effective manner. Our mission is to design and manufacture high-quality pool products, with the homeowner in mind, and to be a value-added partner to our dealers.</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pool covers, and pool liners.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fiscal quarter ended September 26, 2026</w:t>
      </w:r>
    </w:p>
    <w:p>
      <w:pPr>
        <w:spacing w:after="0" w:line="229" w:lineRule="exact"/>
        <w:rPr>
          <w:sz w:val="20"/>
          <w:szCs w:val="20"/>
          <w:color w:val="auto"/>
        </w:rPr>
      </w:pPr>
    </w:p>
    <w:p>
      <w:pPr>
        <w:ind w:left="660" w:right="20" w:hanging="315"/>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sales of 12.5%, or $20.3 million, to $182.2 million for the fiscal quarter ended September 26, 2026, compared to $161.9 million for the fiscal quarter ended September 27, 2025.</w:t>
      </w:r>
    </w:p>
    <w:p>
      <w:pPr>
        <w:spacing w:after="0" w:line="188" w:lineRule="exact"/>
        <w:rPr>
          <w:rFonts w:ascii="Times New Roman" w:cs="Times New Roman" w:eastAsia="Times New Roman" w:hAnsi="Times New Roman"/>
          <w:sz w:val="18"/>
          <w:szCs w:val="18"/>
          <w:color w:val="auto"/>
        </w:rPr>
      </w:pPr>
    </w:p>
    <w:p>
      <w:pPr>
        <w:ind w:left="660" w:right="400" w:hanging="315"/>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income of $3.9 million to $12.1 million and representing a 6.6% net income margin for the fiscal quarter ended September 26, 2026, compared to $8.1 million and representing a 5.0% net income margin for the fiscal quarter ended September 27, 2025.</w:t>
      </w:r>
    </w:p>
    <w:p>
      <w:pPr>
        <w:spacing w:after="0" w:line="188" w:lineRule="exact"/>
        <w:rPr>
          <w:rFonts w:ascii="Times New Roman" w:cs="Times New Roman" w:eastAsia="Times New Roman" w:hAnsi="Times New Roman"/>
          <w:sz w:val="18"/>
          <w:szCs w:val="18"/>
          <w:color w:val="auto"/>
        </w:rPr>
      </w:pPr>
    </w:p>
    <w:p>
      <w:pPr>
        <w:ind w:left="660" w:right="240" w:hanging="315"/>
        <w:spacing w:after="0" w:line="3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Adjusted EBITDA (as defined below) of $6.9 million to $45.3 million for the fiscal quarter ended September 26, 2026, compared to $38.3 million for the fiscal quarter ended September 27, 2025. Adjusted EBITDA margin increased from 23.7% to 24.8%.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three fiscal quarters ended September 26, 2026</w:t>
      </w:r>
    </w:p>
    <w:p>
      <w:pPr>
        <w:spacing w:after="0" w:line="229" w:lineRule="exact"/>
        <w:rPr>
          <w:sz w:val="20"/>
          <w:szCs w:val="20"/>
          <w:color w:val="auto"/>
        </w:rPr>
      </w:pPr>
    </w:p>
    <w:p>
      <w:pPr>
        <w:ind w:left="660" w:right="380" w:hanging="315"/>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net sales of 11.4%, or $51.0 million, to $497.0 million for the three fiscal quarters ended September 26, 2026, compared to $446.0 million for the three fiscal quarters ended September 27, 2025.</w:t>
      </w:r>
    </w:p>
    <w:p>
      <w:pPr>
        <w:spacing w:after="0" w:line="161" w:lineRule="exact"/>
        <w:rPr>
          <w:rFonts w:ascii="Times New Roman" w:cs="Times New Roman" w:eastAsia="Times New Roman" w:hAnsi="Times New Roman"/>
          <w:sz w:val="18"/>
          <w:szCs w:val="18"/>
          <w:color w:val="auto"/>
        </w:rPr>
      </w:pPr>
    </w:p>
    <w:p>
      <w:pPr>
        <w:ind w:left="660" w:right="460" w:hanging="315"/>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income of $1.9 million to $16.3 million and representing a 3.3% net income margin for the three fiscal quarters ended September 26, 2026, compared to net income of $18.1 million and representing a 4.1% net income margin for the three fiscal quarters ended September 27, 2025.</w:t>
      </w:r>
    </w:p>
    <w:p>
      <w:pPr>
        <w:spacing w:after="0" w:line="175" w:lineRule="exact"/>
        <w:rPr>
          <w:rFonts w:ascii="Times New Roman" w:cs="Times New Roman" w:eastAsia="Times New Roman" w:hAnsi="Times New Roman"/>
          <w:sz w:val="18"/>
          <w:szCs w:val="18"/>
          <w:color w:val="auto"/>
        </w:rPr>
      </w:pPr>
    </w:p>
    <w:p>
      <w:pPr>
        <w:ind w:left="660" w:right="520" w:hanging="315"/>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Adjusted EBITDA of $12.7 million to $102.0 million for the three fiscal quarters ended September 26, 2026, compared to $89.4 million for the three fiscal quarters ended September 27, 2025. Adjusted EBITDA margin increased from 20.0% to 20.5%.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delivered strong third quarter and year-to-date results, demonstrating continued success in material conversion and underpinning our expectation that Latham continues to gain share across our product lines. Third quarter net sales increased by 12.5%, including 8.4% organic growth, led by in-ground pool sales, which grew by 22.6%, or 13.9% organically, compared to last year’s third quarter.</w:t>
      </w:r>
    </w:p>
    <w:p>
      <w:pPr>
        <w:spacing w:after="0" w:line="20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substantial increase in in-ground pool sales was driven almost entirely by fiberglass pools, which are increasingly being recognized by consumers and pool builders for their competitive advantages over concrete, namely fast and easy installation, cost efficiency, durability, lifetime warranty and lower maintenance costs. Similarly, autocovers continued to gain momentum as they have strong safety benefits, offer significant cost savings to pool owners and are compatible with all types of in-ground pools. Cover sales showed substantial organic growth of autocovers, where we are achieving meaningful revenue synergies following the acquisitions of several of our Coverstar dealers over the last two years.</w:t>
      </w:r>
    </w:p>
    <w:p>
      <w:pPr>
        <w:spacing w:after="0" w:line="21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Sand States remain a key growth market for Latham, which we believe has the potential to drive a step-change in companywide sales. Sales growth in the Sand States accelerated to 21.1% in the third quarter and increased 16.6% year-to-</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date, led by strong performance in Florida and Texas. We are making meaningful progress in executing the Sand States growth strategy we outlined earlier this year, delivering on key initiatives that position us to drive continued growth by building on our refined market development framework. We also partnered with a national homebuilder to offer Latham fiberglass pools as an option in their new home construction in Florida. In parallel, we continued to strengthen our sales capabilities, adding field sales resources in Florida, with further expansion planned in Texas and Arizona, while targeted marketing initiatives are gaining traction and contributing to growth.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completed the build-out of our commercial organization, including hiring a Chief Commercial 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w:t>
      </w:r>
    </w:p>
    <w:p>
      <w:pPr>
        <w:spacing w:after="0" w:line="2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Strategic transactions continue to be part of our growth strategy. On February 26, 2026, we completed the acquisition of Freedom Pools, a fiberglass pool manufacturer and installer operating in Australia and New Zealand. The acquisition has been and is expected to continue to be accretive to our earnings, adding approximately $20.0 million in net sales and approximately $4.0 million in Adjusted EBITDA, on an annualized basis, before acquisition synergies. The purchase price was $15.4 million, and included a holdback of $1.6 million that has been accrued on our condensed consolidated balance sheet. The transaction was fully funded with cash on hand.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Property</w:t>
      </w:r>
    </w:p>
    <w:p>
      <w:pPr>
        <w:spacing w:after="0" w:line="21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During the fiscal quarter ended March 28, 2026, we purchased four fiberglass production facilities that had previously been leased. The transaction was completed on February 6, 2026 for a total purchase price of $17.6 million. The purchase price included a $12.0 million deposit made in the fourth quarter of 2025, and $5.6 million paid at closing. This purchase was the primary reason for the increase in property and equipment, net on the condensed consolidated balance sheet as of September 26,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Refinancing</w:t>
      </w:r>
    </w:p>
    <w:p>
      <w:pPr>
        <w:spacing w:after="0" w:line="216"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On August 20, 2026, we entered into an agreement (the “New Credit Agreement”) with Jefferies Finance LLC, which provides a senior secured multicurrency revolving line of credit (the “New Revolving Credit Facility”) in an initial principal amount of $75.0 million and a U.S. Dollar senior secured term loan facility (the “New Term Loan”) in an initial principal amount of $300.0 million (collectively, the “Refinancing”). On the Closing Date, proceeds under the agreement were used to repay and replace all outstanding obligations under, and terminate the Prior Credit Agreement (as defined below) and for general corporate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pool covers, which are winterizing mesh or solid pool covers that protect pools against debris and cold or inclement weather, and automatic safety covers for pools that can be operated with a switch.</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or other sales incentives. Revenue that is derived from our extended service warranties, which are separately priced and sold, is recognized over the term of the contracts. Revenue from custom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products is recognized over time utilizing an input method that compares the cost of cumulative work-in-process to date to the most current estimates for the entire cost of the performance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the Board of Directors of the Company (the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expense (benefit), (iv) (gain) loss on sale and disposal of property and equipment, (v) restructuring charges, (vi) stock-based compensation expense, (vii) unrealized losses (gains) on foreign currency transactions, (viii) strategic initiative costs, (ix) acquisition and integration related costs and (x) other.</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evaluation of these adjustments and the reasons we consider them appropriate for supplemental analysis. In evaluating Adjusted EBITDA and Adjusted EBITDA margin, be mindful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 Ended September 26, 2026 Compared to Fiscal Quarter Ended September 27,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fiscal quarter ended September 26, 2026 and September 27, 2025 (dollars in thousands):</w:t>
      </w:r>
    </w:p>
    <w:p>
      <w:pPr>
        <w:spacing w:after="0" w:line="2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5709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30"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192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 of</w:t>
            </w: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43"/>
        </w:trPr>
        <w:tc>
          <w:tcPr>
            <w:tcW w:w="16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September 26,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27,</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43"/>
        </w:trPr>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Net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4"/>
                <w:szCs w:val="24"/>
                <w:color w:val="auto"/>
              </w:rPr>
            </w:pPr>
          </w:p>
        </w:tc>
      </w:tr>
      <w:tr>
        <w:trPr>
          <w:trHeight w:val="297"/>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24"/>
                <w:szCs w:val="24"/>
                <w:color w:val="auto"/>
              </w:rPr>
            </w:pPr>
          </w:p>
        </w:tc>
      </w:tr>
      <w:tr>
        <w:trPr>
          <w:trHeight w:val="189"/>
        </w:trPr>
        <w:tc>
          <w:tcPr>
            <w:tcW w:w="2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6"/>
                <w:szCs w:val="16"/>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140" w:type="dxa"/>
            <w:vAlign w:val="bottom"/>
          </w:tcPr>
          <w:p>
            <w:pPr>
              <w:spacing w:after="0"/>
              <w:rPr>
                <w:sz w:val="20"/>
                <w:szCs w:val="20"/>
                <w:color w:val="auto"/>
              </w:rPr>
            </w:pPr>
          </w:p>
        </w:tc>
      </w:tr>
      <w:tr>
        <w:trPr>
          <w:trHeight w:val="292"/>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4"/>
                <w:szCs w:val="24"/>
                <w:color w:val="auto"/>
              </w:rPr>
            </w:pPr>
          </w:p>
        </w:tc>
      </w:tr>
      <w:tr>
        <w:trPr>
          <w:trHeight w:val="29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Pr>
          <w:p>
            <w:pPr>
              <w:spacing w:after="0"/>
              <w:rPr>
                <w:sz w:val="24"/>
                <w:szCs w:val="24"/>
                <w:color w:val="auto"/>
              </w:rPr>
            </w:pP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40" w:type="dxa"/>
            <w:vAlign w:val="bottom"/>
          </w:tcPr>
          <w:p>
            <w:pPr>
              <w:spacing w:after="0"/>
              <w:rPr>
                <w:sz w:val="21"/>
                <w:szCs w:val="21"/>
                <w:color w:val="auto"/>
              </w:rPr>
            </w:pPr>
          </w:p>
        </w:tc>
      </w:tr>
      <w:tr>
        <w:trPr>
          <w:trHeight w:val="283"/>
        </w:trPr>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4"/>
                <w:szCs w:val="24"/>
                <w:color w:val="auto"/>
              </w:rPr>
            </w:pPr>
          </w:p>
        </w:tc>
      </w:tr>
      <w:tr>
        <w:trPr>
          <w:trHeight w:val="189"/>
        </w:trPr>
        <w:tc>
          <w:tcPr>
            <w:tcW w:w="22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Loss on extinguishment and</w:t>
            </w:r>
          </w:p>
        </w:tc>
        <w:tc>
          <w:tcPr>
            <w:tcW w:w="140" w:type="dxa"/>
            <w:vAlign w:val="bottom"/>
          </w:tcPr>
          <w:p>
            <w:pPr>
              <w:spacing w:after="0"/>
              <w:rPr>
                <w:sz w:val="16"/>
                <w:szCs w:val="16"/>
                <w:color w:val="auto"/>
              </w:rPr>
            </w:pPr>
          </w:p>
        </w:tc>
      </w:tr>
      <w:tr>
        <w:trPr>
          <w:trHeight w:val="234"/>
        </w:trPr>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modification of debt</w:t>
            </w:r>
          </w:p>
        </w:tc>
        <w:tc>
          <w:tcPr>
            <w:tcW w:w="140" w:type="dxa"/>
            <w:vAlign w:val="bottom"/>
          </w:tcPr>
          <w:p>
            <w:pPr>
              <w:spacing w:after="0"/>
              <w:rPr>
                <w:sz w:val="20"/>
                <w:szCs w:val="20"/>
                <w:color w:val="auto"/>
              </w:rPr>
            </w:pPr>
          </w:p>
        </w:tc>
      </w:tr>
      <w:tr>
        <w:trPr>
          <w:trHeight w:val="292"/>
        </w:trPr>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24"/>
                <w:szCs w:val="24"/>
                <w:color w:val="auto"/>
              </w:rPr>
            </w:pPr>
          </w:p>
        </w:tc>
      </w:tr>
      <w:tr>
        <w:trPr>
          <w:trHeight w:val="29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Pr>
          <w:p>
            <w:pPr>
              <w:spacing w:after="0"/>
              <w:rPr>
                <w:sz w:val="24"/>
                <w:szCs w:val="24"/>
                <w:color w:val="auto"/>
              </w:rPr>
            </w:pPr>
          </w:p>
        </w:tc>
      </w:tr>
      <w:tr>
        <w:trPr>
          <w:trHeight w:val="189"/>
        </w:trPr>
        <w:tc>
          <w:tcPr>
            <w:tcW w:w="2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Earnings from equity method</w:t>
            </w:r>
          </w:p>
        </w:tc>
        <w:tc>
          <w:tcPr>
            <w:tcW w:w="140" w:type="dxa"/>
            <w:vAlign w:val="bottom"/>
          </w:tcPr>
          <w:p>
            <w:pPr>
              <w:spacing w:after="0"/>
              <w:rPr>
                <w:sz w:val="16"/>
                <w:szCs w:val="16"/>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Pr>
          <w:p>
            <w:pPr>
              <w:spacing w:after="0"/>
              <w:rPr>
                <w:sz w:val="20"/>
                <w:szCs w:val="20"/>
                <w:color w:val="auto"/>
              </w:rPr>
            </w:pPr>
          </w:p>
        </w:tc>
      </w:tr>
      <w:tr>
        <w:trPr>
          <w:trHeight w:val="30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24"/>
                <w:szCs w:val="24"/>
                <w:color w:val="auto"/>
              </w:rPr>
            </w:pPr>
          </w:p>
        </w:tc>
      </w:tr>
      <w:tr>
        <w:trPr>
          <w:trHeight w:val="281"/>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5"/>
              </w:rPr>
              <w:t>182,175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20,272</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3"/>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5"/>
              </w:rPr>
              <w:t>115,348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104,596</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66,827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57,307</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35,862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83"/>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7,358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23,607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527"/>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5,423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84"/>
        </w:trPr>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(71)</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10,374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432"/>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1,789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4"/>
        </w:trPr>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2,966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-1971040</wp:posOffset>
            </wp:positionV>
            <wp:extent cx="7132320" cy="1808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80848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-2433955</wp:posOffset>
            </wp:positionV>
            <wp:extent cx="71323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360" w:space="520"/>
            <w:col w:w="8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304"/>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300" w:type="dxa"/>
            <w:vAlign w:val="bottom"/>
            <w:tcBorders>
              <w:top w:val="single" w:sz="8" w:color="CCEEFF"/>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240" w:type="dxa"/>
            <w:vAlign w:val="bottom"/>
          </w:tcPr>
          <w:p>
            <w:pPr>
              <w:ind w:left="20"/>
              <w:spacing w:after="0" w:line="257"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(a)</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45,254</w:t>
            </w:r>
          </w:p>
        </w:tc>
        <w:tc>
          <w:tcPr>
            <w:tcW w:w="30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3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38,328</w:t>
            </w:r>
          </w:p>
        </w:tc>
        <w:tc>
          <w:tcPr>
            <w:tcW w:w="3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3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32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22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04"/>
        </w:trPr>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98" w:lineRule="exact"/>
        <w:rPr>
          <w:sz w:val="20"/>
          <w:szCs w:val="20"/>
          <w:color w:val="auto"/>
        </w:rPr>
      </w:pPr>
    </w:p>
    <w:p>
      <w:pPr>
        <w:ind w:right="280" w:firstLine="8"/>
        <w:spacing w:after="0" w:line="282" w:lineRule="auto"/>
        <w:tabs>
          <w:tab w:leader="none" w:pos="3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the most directly comparable GAAP measure, and for information regarding our use of Adjusted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Net sales was $182.2 million for the fiscal quarter ended September 26, 2026, compared to $161.9 million for the fiscal quarter ended September 27, 2025. The $20.3 million, or 12.5%, increase in net sales was due to a $16.7 million increase in sales volume and a $3.6 million increase from higher pricing. The increase in net sales was primarily driven by organic growth in our in-ground pool sales including sales growth in the Sand States, organic growth of autocovers and the benefit of recent price increases, as well as the acquisition of Freedom Pools. The increase in net sales of $20.3 million across our product lines consisted of an increase of $17.1 million for in-ground swimming pools and $4.8 million for covers, partially offset by a decrease of $1.5 million for liners.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Cost of sales was $115.3 million for the fiscal quarter ended September 26, 2026, compared to $104.6 million for the fiscal quarter ended September 27, 2025. The $10.8 million, or 10.3%, increase in cost of sales was primarily the result of the increase in sales volume, partially offset by the impact of production efficiencies resulting from lean manufacturing and</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value engineering programs. Gross margin increased by 1.3%, to 36.7% of net sales for the fiscal quarter ended September 26, 2026, compared to 35.4% of net sales for the fiscal quarter ended September 27, 2025. The 1.3% increase in gross margin was primarily driven by greater plant absorption on higher volumes and the ongoing benefits of our lean manufacturing and value engineering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16"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Selling, general and administrative expense was $35.9 million for the fiscal quarter ended September 26, 2026, compared to $28.6 million for the fiscal quarter ended September 27, 2025. The $7.3 million, or 25.5%, increase in selling, general and administrative expense was primarily due to investments in support of our growth strategies and market share expansion, sales and marketing initiatives to accelerate the fiberglass conversion strategy in the Sand States, acquisition and integration related costs, which included $3.2 million of performance-based compensatory earn-out expenses related to our Coverstar Central acquisition in 2024, as well as costs related to our digital transformation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Amortization was $7.4 million for the fiscal quarter ended September 26, 2026 and $7.2 million for the fiscal quarter ended September 27, 2025. The $0.1 million, or 2.0%</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increase in amortization was due to the Freedom Pools acquisition.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expense, net was $5.4 million for the fiscal quarter ended September 26, 2026, compared to $6.1 million for the fiscal quarter ended September 27, 2025. The $0.6 million, or 10.6%, decrease in interest expense, net was primarily the result of the change in the fair value of our interest rate swap, a decrease in interest rates and a change in the amortization of financing fees related to the Refinancing (defined below), compared to the fiscal quarter ended September 27,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and Modification of Debt</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Loss on extinguishment and modification of debt was $5.0 million for the fiscal quarter ended September 26, 2026, compared to none for the fiscal quarter ended September 27, 2025 due to the Refinancing that was completed in August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income, net was $0.1 million for the fiscal quarter ended September 26, 2026, compared to other expense, net of $1.2 million for fiscal quarter ended September 27, 2025. The $1.2 million increase in other income, net was primarily driven by a 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Spas was $1.8 million for the fiscal quarter ended September 26, 2026, compared to $1.3 million for the fiscal quarter ended September 27, 2025, due to the financial performance of Premier Pools &amp; Spas.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was $3.0 million for the fiscal quarter ended September 26, 2026, compared to $7.5 million for the fiscal quarter ended September 27, 2025. Our effective tax rate was 19.7% for the fiscal quarter ended September 26, 2026, compared to 47.9% for the fiscal quarter ended September 27,</w:t>
      </w:r>
    </w:p>
    <w:p>
      <w:pPr>
        <w:ind w:right="40"/>
        <w:spacing w:after="0" w:line="255" w:lineRule="auto"/>
        <w:rPr>
          <w:sz w:val="20"/>
          <w:szCs w:val="20"/>
          <w:color w:val="auto"/>
        </w:rPr>
      </w:pPr>
      <w:r>
        <w:rPr>
          <w:rFonts w:ascii="Times New Roman" w:cs="Times New Roman" w:eastAsia="Times New Roman" w:hAnsi="Times New Roman"/>
          <w:sz w:val="18"/>
          <w:szCs w:val="18"/>
          <w:color w:val="auto"/>
        </w:rPr>
        <w:t>2025. The differences between the U.S. federal statutory income tax rate and our effective income tax rates for the fiscal quarter ended September 26, 2026 and the fiscal quarter ended September 27, 2025 were primarily attributable to the jurisdictional mix of income, the discrete impact of stock-based compensation forfeitures or windfalls and exercises and the effects of branch accounting for Latham Canada.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$12.1 million for the fiscal quarter ended September 26, 2026, compared to $8.1 million for the fiscal quarter ended September 27,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$3.9 million, or 48.5%, increase in net income was primarily driven by an increase in net sales, as well as the other factors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Margin</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Net income margin was 6.6% for the fiscal quarter ended September 26, 2026, compared to 5.0% for the fiscal quarter ended September 27, 2025. The 1.6% increase in net income margin was primarily driven by the $3.9 million increase in net income, as well as the other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was $45.3 million for the fiscal quarter ended September 26, 2026, compared to $38.3 million for the fiscal quarter ended</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September 27, 2025. The $6.9 million, or 18.1%, increase in Adjusted EBITDA was primarily because of higher gross margin that more than offset higher sales and marketing expenses, as well as the factors described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 was 24.8% for the fiscal quarter ended September 26, 2026, compared to 23.7% for the fiscal quarter ended September 27,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1.1% increase in Adjusted EBITDA margin was primarily because of the increase in net sales as well as the other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Fiscal Quarters Ended September 26, 2026 Compared to Three Fiscal Quarters Ended September 27, 2025</w:t>
      </w:r>
    </w:p>
    <w:p>
      <w:pPr>
        <w:spacing w:after="0" w:line="25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fiscal quarters ended September 26, 2026 and September 27, 2025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Fiscal Quarters Ended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21"/>
                <w:szCs w:val="21"/>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6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00" w:type="dxa"/>
            <w:vAlign w:val="bottom"/>
          </w:tcPr>
          <w:p>
            <w:pPr>
              <w:spacing w:after="0"/>
              <w:rPr>
                <w:sz w:val="21"/>
                <w:szCs w:val="21"/>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496,964</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51,002</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84"/>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322,902</w:t>
            </w:r>
          </w:p>
        </w:tc>
        <w:tc>
          <w:tcPr>
            <w:tcW w:w="3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291,811</w:t>
            </w:r>
          </w:p>
        </w:tc>
        <w:tc>
          <w:tcPr>
            <w:tcW w:w="2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7"/>
        </w:trPr>
        <w:tc>
          <w:tcPr>
            <w:tcW w:w="2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174,062</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154,151</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Selling, general and</w:t>
            </w: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110,071</w:t>
            </w:r>
          </w:p>
        </w:tc>
        <w:tc>
          <w:tcPr>
            <w:tcW w:w="3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91,146</w:t>
            </w:r>
          </w:p>
        </w:tc>
        <w:tc>
          <w:tcPr>
            <w:tcW w:w="28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18,925</w:t>
            </w:r>
          </w:p>
        </w:tc>
        <w:tc>
          <w:tcPr>
            <w:tcW w:w="2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w:t>
            </w: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30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3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28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9"/>
        </w:trPr>
        <w:tc>
          <w:tcPr>
            <w:tcW w:w="22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Loss on extinguishment and</w:t>
            </w:r>
          </w:p>
        </w:tc>
        <w:tc>
          <w:tcPr>
            <w:tcW w:w="2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modification of debt</w:t>
            </w:r>
          </w:p>
        </w:tc>
        <w:tc>
          <w:tcPr>
            <w:tcW w:w="2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15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3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7"/>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Earnings from equity method</w:t>
            </w: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3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8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9"/>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84"/>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3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2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302"/>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260" w:type="dxa"/>
            <w:vAlign w:val="bottom"/>
          </w:tcPr>
          <w:p>
            <w:pPr>
              <w:ind w:left="20"/>
              <w:spacing w:after="0" w:line="257"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102,029</w:t>
            </w:r>
          </w:p>
        </w:tc>
        <w:tc>
          <w:tcPr>
            <w:tcW w:w="3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3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89,354</w:t>
            </w:r>
          </w:p>
        </w:tc>
        <w:tc>
          <w:tcPr>
            <w:tcW w:w="2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3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26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7" w:lineRule="exact"/>
        <w:rPr>
          <w:sz w:val="20"/>
          <w:szCs w:val="20"/>
          <w:color w:val="auto"/>
        </w:rPr>
      </w:pPr>
    </w:p>
    <w:p>
      <w:pPr>
        <w:ind w:left="340" w:right="280" w:hanging="332"/>
        <w:spacing w:after="0" w:line="260" w:lineRule="auto"/>
        <w:tabs>
          <w:tab w:leader="none" w:pos="3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Financial Measures” for a reconciliation to net income, the most directly comparable GAAP measure, and for information regarding our use of Adjusted EBITDA.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Net sales was $497.0 million for the three fiscal quarters ended September 26, 2026, compared to $446.0 million for the three fiscal quarters ended September 27, 2025. The $51.0 million, or 11.4%, increase in net sales was due to a $38.8 million increase in sales volume and a $12.2 million increase from higher pricing. The sales volume increase was primarily due to organic growth of 7.9% with the acquisition of Freedom Pools contributing the remainder. The increase in net sales across our product lines consisted of an increase of $36.8 million for in-ground swimming pools, $10.4 million for covers and $3.9 million for liners.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Cost of sales was $322.9 million for the three fiscal quarters ended September 26, 2026, compared to $291.8 million for the three fiscal quarters ended September 27, 2025. The $31.1 million increase in cost of sales was primarily the result of the increase in sales volume, partially offset by the impact of production efficiencies resulting from lean manufacturing and value engineering programs. Gross margin increased by 0.4% and was 35.0% of net sales for the three fiscal quarters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ended September 26, 2026, compared to 34.6% of net sales for the three fiscal quarters ended September 27, 2025. The increase in gross margin reflects the benefits of our incremental lean manufacturing and value engineering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was $110.1 million for the three fiscal quarters ended September 26, 2026, compared to $91.1 million for the three fiscal quarters ended September 27, 2025. The $18.9 million, or 20.8%, increase in selling, general and administrative expense was primarily driven by increased sales and marketing investments to accelerate our fiberglass conversion strategy in the Sand States, acquisition and integration related costs, which included $7.7 million of performance-based compensatory earn-out expenses related to our Coverstar Central acquisition in 2024 and costs related to our digital transformation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7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Amortization was $21.9 million for the three fiscal quarters ended September 26, 2026 compared to $21.7 million for the three fiscal quarters ended September 27, 2025. The $0.2 million, or 0.9%, increase in amortization expense was driven by the acquisition of Freedom Pools.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was $16.1 million for the three fiscal quarters ended September 26, 2026, compared to $19.6 million for the three fiscal quarters ended September 27, 2025. The $3.5 million, or 17.8%, decrease in interest expense, net was the result of the change in the fair value of our interest rate swap and lower interest rates, compared to the three fiscal quarters ended September 27,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and Modification of Debt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Loss on extinguishment and modification of debt was $5.0 million for the three fiscal quarters ended September 26, 2026, compared to none for the three fiscal quarters ended September 27, 2025 due to the Refinancing that was completed in August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Other expense, net was $2.1 million for the three fiscal quarters ended September 26, 2026, compared to other income, net of $2.2 million for the three fiscal quarters ended September 27, 2025. The $4.3 million increase in other expense, net was primarily driven by an unfavorable change in net foreign currency transaction gains and losses associated with our international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Earnings from our equity method investment in Premier Pools &amp; Spas were $3.7 million for the three fiscal quarters ended September 26, 2026, compared to $2.8 million for the three fiscal quarters ended September 27, 2025, due to the financial performance of Premier Pools &amp; Spas.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Income tax expense was $6.3 million for the three fiscal quarters ended September 26, 2026, compared to income tax expense of $8.5 million for the three fiscal quarters ended September 27, 2025. Our effective tax rate was 27.8% for the three fiscal quarters ended September 26, 2026, compared to 32.0% for the three fiscal quarters ended September 27, 2025. The difference between the U.S. federal statutory income tax rate and our effective income tax rate for both the three fiscal quarters ended September 26, 2026 and September 27, 2025 was primarily attributable to the jurisdictional mix of income, the discrete impact of stock-based compensation forfeitures or windfalls and exercises and the effects of branch accounting for Latham Canada.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Net income was $16.3 million for the three fiscal quarters ended September 26, 2026, compared to $18.1 million for the three fiscal quarters ended September 27, 2025. The $1.9 million, or 10.3%, decrease in net income was primarily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driven by a one-time loss on extinguishment and modification of debt related to the Refinancing, as well as the other factors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Margin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income margin was 3.3% for the three fiscal quarters ended September 26, 2026, compared to 4.1% for the three fiscal quarters ended September 27, 2025. The 0.8% decrease in net income margin was driven by a $1.9 million decrease in net income as well as the other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Adjusted EBITDA was $102.0 million for the three fiscal quarters ended September 26, 2026, compared to $89.4 million for the three fiscal quarters ended September 27, 2025. The $12.7 million, or 14.2%, increase in Adjusted EBITDA was driven by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Adjusted EBITDA margin was 20.5% for the three fiscal quarters ended September 26, 2026 compared to 20.0% for the three fiscal quarters ended September 27, 2025. The 0.5% increase in Adjusted EBITDA margin was primarily because of the increase in net sales as well as the other factors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w:t>
      </w:r>
    </w:p>
    <w:p>
      <w:pPr>
        <w:spacing w:after="0" w:line="1" w:lineRule="exact"/>
        <w:rPr>
          <w:sz w:val="20"/>
          <w:szCs w:val="20"/>
          <w:color w:val="auto"/>
        </w:rPr>
      </w:pPr>
    </w:p>
    <w:p>
      <w:pPr>
        <w:ind w:firstLine="8"/>
        <w:spacing w:after="0" w:line="255"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(benefit), (iv) (gain) loss on sale and disposal of property and equipment, (v) restructuring charges, (vi) stock-based compensation expense, (vii) unrealized (gains) losses on foreign currency transactions, (viii) strategic initiative costs, (ix) acquisition and integration related costs, (x) loss on extinguishment and modification of debt and (xi) other.</w:t>
      </w:r>
    </w:p>
    <w:p>
      <w:pPr>
        <w:spacing w:after="0" w:line="18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We encourage evaluation of these adjustments and the reasons we consider them appropriate for supplemental analysis. In evaluating Adjusted EBITDA and Adjusted EBITDA margin, be mindful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should not be considered in isolation or as a substitute for analysis of our results as reported under GAAP. Some of these limitations are that Adjusted EBITDA and Adjusted EBITDA margin:</w:t>
      </w:r>
    </w:p>
    <w:p>
      <w:pPr>
        <w:spacing w:after="0" w:line="162" w:lineRule="exact"/>
        <w:rPr>
          <w:sz w:val="20"/>
          <w:szCs w:val="20"/>
          <w:color w:val="auto"/>
        </w:rPr>
      </w:pPr>
    </w:p>
    <w:p>
      <w:pPr>
        <w:ind w:left="980" w:hanging="31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net, or the amounts necessary to service interest or principal payments, on our outstanding debt;</w:t>
      </w:r>
    </w:p>
    <w:p>
      <w:pPr>
        <w:spacing w:after="0" w:line="225" w:lineRule="exact"/>
        <w:rPr>
          <w:rFonts w:ascii="Times New Roman" w:cs="Times New Roman" w:eastAsia="Times New Roman" w:hAnsi="Times New Roman"/>
          <w:sz w:val="18"/>
          <w:szCs w:val="18"/>
          <w:color w:val="auto"/>
        </w:rPr>
      </w:pPr>
    </w:p>
    <w:p>
      <w:pPr>
        <w:ind w:left="1000" w:right="100" w:hanging="331"/>
        <w:spacing w:after="0" w:line="282" w:lineRule="auto"/>
        <w:tabs>
          <w:tab w:leader="none" w:pos="9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expense (benefit),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225" w:lineRule="exact"/>
        <w:rPr>
          <w:rFonts w:ascii="Times New Roman" w:cs="Times New Roman" w:eastAsia="Times New Roman" w:hAnsi="Times New Roman"/>
          <w:sz w:val="18"/>
          <w:szCs w:val="18"/>
          <w:color w:val="auto"/>
        </w:rPr>
      </w:pPr>
    </w:p>
    <w:p>
      <w:pPr>
        <w:ind w:left="980" w:hanging="311"/>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net income to Adjusted EBITDA for the periods presented and the calculation of Adjusted EBITDA margin (dollars in thousands):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Fiscal Quarter Ended</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Fiscal Quarters Ended</w:t>
            </w:r>
          </w:p>
        </w:tc>
      </w:tr>
      <w:tr>
        <w:trPr>
          <w:trHeight w:val="237"/>
        </w:trPr>
        <w:tc>
          <w:tcPr>
            <w:tcW w:w="3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6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27,</w:t>
            </w:r>
          </w:p>
        </w:tc>
        <w:tc>
          <w:tcPr>
            <w:tcW w:w="16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1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27,</w:t>
            </w:r>
          </w:p>
        </w:tc>
      </w:tr>
      <w:tr>
        <w:trPr>
          <w:trHeight w:val="243"/>
        </w:trPr>
        <w:tc>
          <w:tcPr>
            <w:tcW w:w="35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12,056</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8,117</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16,276</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18,135</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13,455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12,881</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40,194</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37,978</w:t>
            </w: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5,423</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6,067</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16,109</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19,587</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2,966</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7,466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6,273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8,517</w:t>
            </w:r>
          </w:p>
        </w:tc>
      </w:tr>
      <w:tr>
        <w:trPr>
          <w:trHeight w:val="189"/>
        </w:trPr>
        <w:tc>
          <w:tcPr>
            <w:tcW w:w="3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(Gain) loss on sale and disposal of property and</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35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35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998</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1,980</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3,711</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5,332</w:t>
            </w:r>
          </w:p>
        </w:tc>
      </w:tr>
      <w:tr>
        <w:trPr>
          <w:trHeight w:val="189"/>
        </w:trPr>
        <w:tc>
          <w:tcPr>
            <w:tcW w:w="3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Unrealized (gains) losses on foreign currency</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3"/>
        </w:trPr>
        <w:tc>
          <w:tcPr>
            <w:tcW w:w="35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transactions</w:t>
            </w:r>
            <w:r>
              <w:rPr>
                <w:rFonts w:ascii="Times New Roman" w:cs="Times New Roman" w:eastAsia="Times New Roman" w:hAnsi="Times New Roman"/>
                <w:sz w:val="23"/>
                <w:szCs w:val="23"/>
                <w:color w:val="auto"/>
                <w:vertAlign w:val="superscript"/>
              </w:rPr>
              <w:t>(c)</w:t>
            </w:r>
          </w:p>
        </w:tc>
        <w:tc>
          <w:tcPr>
            <w:tcW w:w="1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1,181</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2,155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(2,878)</w:t>
            </w:r>
          </w:p>
        </w:tc>
      </w:tr>
      <w:tr>
        <w:trPr>
          <w:trHeight w:val="243"/>
        </w:trPr>
        <w:tc>
          <w:tcPr>
            <w:tcW w:w="35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3"/>
                <w:szCs w:val="23"/>
                <w:color w:val="auto"/>
                <w:vertAlign w:val="superscript"/>
              </w:rPr>
              <w:t>(d)</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686</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684</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1,645</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2,246</w:t>
            </w:r>
          </w:p>
        </w:tc>
      </w:tr>
      <w:tr>
        <w:trPr>
          <w:trHeight w:val="243"/>
        </w:trPr>
        <w:tc>
          <w:tcPr>
            <w:tcW w:w="35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Acquisition and integration related costs</w:t>
            </w:r>
            <w:r>
              <w:rPr>
                <w:rFonts w:ascii="Times New Roman" w:cs="Times New Roman" w:eastAsia="Times New Roman" w:hAnsi="Times New Roman"/>
                <w:sz w:val="23"/>
                <w:szCs w:val="23"/>
                <w:color w:val="auto"/>
                <w:vertAlign w:val="superscript"/>
              </w:rPr>
              <w:t>(e)</w:t>
            </w:r>
          </w:p>
        </w:tc>
        <w:tc>
          <w:tcPr>
            <w:tcW w:w="14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9,155</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r>
      <w:tr>
        <w:trPr>
          <w:trHeight w:val="189"/>
        </w:trPr>
        <w:tc>
          <w:tcPr>
            <w:tcW w:w="3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Loss on extinguishment and modification of</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43"/>
        </w:trPr>
        <w:tc>
          <w:tcPr>
            <w:tcW w:w="35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23"/>
                <w:szCs w:val="23"/>
                <w:color w:val="auto"/>
                <w:vertAlign w:val="superscript"/>
              </w:rPr>
              <w:t>(f)</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5,022</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5,022</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(g)</w:t>
            </w:r>
          </w:p>
        </w:tc>
        <w:tc>
          <w:tcPr>
            <w:tcW w:w="140" w:type="dxa"/>
            <w:vAlign w:val="bottom"/>
          </w:tcPr>
          <w:p>
            <w:pPr>
              <w:spacing w:after="0"/>
              <w:rPr>
                <w:sz w:val="21"/>
                <w:szCs w:val="21"/>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62"/>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45,254</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38,328</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102,029</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89,354</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182,175</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161,903</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496,964</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445,962</w:t>
            </w: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0"/>
        </w:trPr>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25"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that include severance and other expenses for our program to optimize certain operational and administrative functions.</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losses (gains) associated with our international subsidiaries.</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9" w:lineRule="exact"/>
        <w:rPr>
          <w:rFonts w:ascii="Times New Roman" w:cs="Times New Roman" w:eastAsia="Times New Roman" w:hAnsi="Times New Roman"/>
          <w:sz w:val="18"/>
          <w:szCs w:val="18"/>
          <w:color w:val="auto"/>
        </w:rPr>
      </w:pPr>
    </w:p>
    <w:p>
      <w:pPr>
        <w:ind w:left="260" w:hanging="252"/>
        <w:spacing w:after="0" w:line="250" w:lineRule="auto"/>
        <w:tabs>
          <w:tab w:leader="none" w:pos="2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including the earn-out related to the Coverstar Central acquisition, as well as other costs related to potential transactions.</w:t>
      </w: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on extinguishment and modification of debt in connection with the Refinancing.</w:t>
      </w:r>
    </w:p>
    <w:p>
      <w:pPr>
        <w:spacing w:after="0" w:line="9" w:lineRule="exact"/>
        <w:rPr>
          <w:rFonts w:ascii="Times New Roman" w:cs="Times New Roman" w:eastAsia="Times New Roman" w:hAnsi="Times New Roman"/>
          <w:sz w:val="18"/>
          <w:szCs w:val="18"/>
          <w:color w:val="auto"/>
        </w:rPr>
      </w:pPr>
    </w:p>
    <w:p>
      <w:pPr>
        <w:ind w:left="260" w:right="180" w:hanging="252"/>
        <w:spacing w:after="0" w:line="260"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and (ii) other items.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availability under our New Revolving Credit Facility (as defined below). Historically, we have funded working capital requirements, capital expenditures, payments related to acquisitions, and debt service requirements with internally generated cash on hand, through borrowings under our credit facilities, and through the issuance of shares of our common stock. Our primary cash needs are to fund working capital, capital expenditures, debt service requirements and any acquisitions or investments we may undertake.</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September 26, 2026, we had $94.8 million of cash, $292.5 million of outstanding borrowings and an additional $75.0 million of borrowing availability under our New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our growth strategy, including production capacity, diversifying our product offerings, storage, and delivery equipment. We are currently undergoing a digital transformation program to upgrade all of our technology and enterprise resource planning ("ERP") systems. We expect to fund these capital expenditures from net cash provided by operating activities or the utilization of a portion of our borrowing availability under our New Revolving Credit Facility.</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disciplined capital activity allocation strategy remains focused on deploying capital opportunistically to position Latham for profitable organic and acquisition-related growth and to de-lever and further reduce our net debt leverage ratio.</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It is our belief that our existing cash, cash generated from operations and availability under our New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1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On August 20, 2026 (the "Closing Date"), we completed the Refinancing. Latham Pool Products and certain subsidiary guarantors, entered into New Credit Agreement with Jefferies Finance LLC, which provides a senior secured multicurrency revolving line of credit in an initial principal amount of $75.0 million, which includes a sub-limit for letters of credit, and a U.S. Dollar senior secured term loan facility in an initial principal amount of $300.0 million. On the Closing Date, proceeds from the borrowings under the New Credit Agreement were used to repay and replace all outstanding obligations under, and terminate, the Credit and Guaranty Agreement, dated as of February 23, 2022, among Latham Pool Products, Latham International Manufacturing Corp. ("LIMC") and the other guarantors party thereto, the lenders party thereto and Barclays Bank PLC, as administrative agent (the "Prior Credit Agreement").</w:t>
      </w:r>
    </w:p>
    <w:p>
      <w:pPr>
        <w:spacing w:after="0" w:line="2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required to meet certain financial covenants, including maintaining specific liquidity measurements. To the extent that outstanding usage of the New Revolving Credit Facility exceeds 40% of the commitments under the New Revolving Credit Facility as of the last day of any fiscal quarter, LIMC is required to be in compliance with a maximum First Lien Net Leverage Ratio (as defined below) of 5.20:1.00 as of the last day of such fiscal quarter. There are also negative covenants, including certain restrictions on our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New Credit Agreement contains customary mandatory prepayment provisions, including requirements to make mandatory prepayments with 50% of any excess cash flow and with 100% of the net cash proceeds from the incurrence of nonpermitted indebtedness, asset sales and casualty and condemnation events, in each case, subject to customary exceptions.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26, 2026, we were in compliance with all covenants under the New Credit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Revolving Credit Facility</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New Revolving Credit Facility may be utilized to finance working capital and other general corporate purposes and permits Latham Pool Products to borrow loans in U.S. Dollars, Canadian Dollars, Euros and Australian Dollars. The New Revolving Credit Facility matures on August 20, 2031. Loans outstanding under the New Revolving Credit Facility denominated in U.S. Dollars and Canadian Dollars bear interest, at the borrower’s option, at a rate per annum based on Term SOFR or the Term CORRA Rate (each, as defined in the New Credit Agreement), as applicable, plus a margin ranging from 3.25% to 3.50%, depending on the First Lien Net Leverage Ratio (as defined in the New Credit Agreement, the “First Lien Net Leverage Ratio”), or at a rate per annum based on the Alternate Base Rate or the Canadian Prime Rate (each, as defined in the New Credit Agreement), plus a margin ranging from 2.25% to 2.50%, depending on the First Lien Net Leverage Ratio. Loans outstanding under the New Revolving Credit Facility denominated in Euros or Australian Dollars bear interest based on EURIBOR or the BBSY (each, as defined in the New Credit Agreement), respectively, plus a margin ranging from 3.25% to 3.50%, depending on the First Lien Net Leverage Ratio. A commitment fee accrues on any unused portion of the commitments under the New Revolving Credit Facility. The commitment fee is due and payable quarterly in arrears and accrues at a rate per annum ranging from 0.25% to 0.50%, depending on the First Lien Net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Ratio. Borrowings under the New Revolving Credit Facility are not subject to amortization and are due at maturity.</w:t>
      </w:r>
    </w:p>
    <w:p>
      <w:pPr>
        <w:spacing w:after="0" w:line="25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of September 26, 2026, we had no outstanding borrowings under the New Revolving Credit Facility and $75.0 million was available for future borrowing.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Term Loan</w:t>
      </w:r>
    </w:p>
    <w:p>
      <w:pPr>
        <w:spacing w:after="0" w:line="21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Pursuant to the New Credit Agreement, we borrowed $300.0 million in term loans. The New Term Loan matures on August 20, 2033. Loans outstanding under the New Term Loan bear interest, at the borrower’s option, at a rate per annum based on Term SOFR (as defined in the New Credit Agreement), plus a margin of 4.00%, or based on the Alternate Base Rate (as defined in the New Credit Agreement), plus a margin of 3.00%. Loans under the New Term Loan are subject to scheduled quarterly amortization payments of $750,000, which represents 0.25% of the initial principal amount of the New Term Loan.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26, 2026, we had $292.5 million of outstanding borrowings under the New Term Loan.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Revolving Credit Facility</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23, 2022, the Company entered into a prior revolving credit facility with Barclays Bank, PLC that was utilized to finance ongoing general corporate and working capital needs and permits Latham Pool Products to borrow loans in U.S Dollars, Canadian Dollars, Euros and Australian Dollars up to $75 million (the "Prior Revolving Credit Facility"). The Prior Revolving Credit Facility would have matured on February 23, 2027 but was terminated in connection with the Refinancing.</w:t>
      </w:r>
    </w:p>
    <w:p>
      <w:pPr>
        <w:spacing w:after="0" w:line="24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three fiscal quarters ended September 26, 2026, we repaid $35.0 million of outstanding borrowings on the Prior Revolving Credit Facility, before the Refinancing.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Term Loan</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Prior Credit Agreement, Latham Pool Products also borrowed $325.0 million in term loans (the "Prior Term Loan"). The Prior Term Loan was repaid and terminated as of the Closing Date of the Refinancing.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(dollars in thousands):</w:t>
      </w:r>
    </w:p>
    <w:p>
      <w:pPr>
        <w:spacing w:after="0" w:line="275" w:lineRule="exact"/>
        <w:rPr>
          <w:sz w:val="20"/>
          <w:szCs w:val="20"/>
          <w:color w:val="auto"/>
        </w:rPr>
      </w:pPr>
    </w:p>
    <w:tbl>
      <w:tblPr>
        <w:tblLayout w:type="fixed"/>
        <w:tblInd w:w="152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Fiscal Quarters Ended</w:t>
            </w:r>
          </w:p>
        </w:tc>
      </w:tr>
      <w:tr>
        <w:trPr>
          <w:trHeight w:val="237"/>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26,</w:t>
            </w:r>
          </w:p>
        </w:tc>
        <w:tc>
          <w:tcPr>
            <w:tcW w:w="22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27,</w:t>
            </w:r>
          </w:p>
        </w:tc>
      </w:tr>
      <w:tr>
        <w:trPr>
          <w:trHeight w:val="243"/>
        </w:trPr>
        <w:tc>
          <w:tcPr>
            <w:tcW w:w="4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54,576</w:t>
            </w: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40,121</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(36,428)</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(21,094)</w:t>
            </w:r>
          </w:p>
        </w:tc>
      </w:tr>
      <w:tr>
        <w:trPr>
          <w:trHeight w:val="24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4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2"/>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23,767</w:t>
            </w: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three fiscal quarters ended September 26, 2026, operating activities provided $54.6 million of cash. Net income, after adjustments for non-cash items, provided cash of $70.3 million. Cash provided by operating activities was partially reduced by changes in our operating assets and liabilities, which used $15.8 million. Net cash used due to changes in our operating assets and liabilities for the three fiscal quarters ended September 26, 2026 consisted</w:t>
      </w:r>
    </w:p>
    <w:p>
      <w:pPr>
        <w:spacing w:after="0" w:line="282" w:lineRule="auto"/>
        <w:rPr>
          <w:sz w:val="20"/>
          <w:szCs w:val="20"/>
          <w:color w:val="auto"/>
        </w:rPr>
      </w:pPr>
      <w:r>
        <w:rPr>
          <w:rFonts w:ascii="Times New Roman" w:cs="Times New Roman" w:eastAsia="Times New Roman" w:hAnsi="Times New Roman"/>
          <w:sz w:val="18"/>
          <w:szCs w:val="18"/>
          <w:color w:val="auto"/>
        </w:rPr>
        <w:t>primarily of a $40.1 million increase in trade receivables, a $9.3 million increase in inventories, a $0.6 million decrease in other long-term liabilities, a $0.3 million increase in prepaid expenses and other current assets and a $0.1 million increase in other assets,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partially offset by a $15.8 million increase in accounts payable, a $13.3 million increase in accrued expenses and other current liabilities and a $5.7 million decrease in income tax receivable. The change in trade receivables was primarily driven by the increase and timing of net sales, the change in accounts payable was primarily driven by volume of purchases and timing of payments and the change in accrued expenses and other current liabilities was primarily driven by the performance-based compensatory earn-out expenses related to our Coverstar Central acquisition in 2024.</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fiscal quarters ended September 27, 2025, operating activities provided $40.1 million of cash. Net income, after adjustments for non-cash items, provided cash of $67.3 million. Cash provided by operating activities was partially reduced by changes in our operating assets and liabilities, which used $27.1 million. Net cash used by changes in our operating assets and liabilities for the three fiscal quarters ended September 27, 2025 consisted primarily of a $50.4 million increase in trade receivables, a $5.6 million increase in income tax receivable, a $0.8 million increase in prepaid expenses and other current assets, a $0.5 million decrease in other long-term liabilities and a $0.2 million increase in other assets, partially offset by a $16.3 million increase in accounts payable, a $7.3 million decrease in inventories and a $6.7 million increase in accrued expenses and other current liabilities. The change in trade receivables was primarily driven by the increase and timing of net sales and the change in accounts payable was primarily driven by volume of purchases and timing of payments.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three fiscal quarters ended September 26, 2026, investing activities used $36.4 million of cash, consisting of purchases of property and equipment for $22.2 million and a cash payment for the acquisition of business, net of cash acquired of $14.3 million. Acquisition of business, net of cash acquired included $13.9 million cash paid for the acquisition of Freedom Pools and $0.4 million for a holdback paid related to the acquisition of two of our smaller autocover dealers in New York and Tennessee. Purchases of property and equipment included the second payment of $5.6 million that was paid as a follow up to the deposit made in the prior year of $12.0 million for the purchase of four fiberglass plants that had previously been leased. The remainder was primarily to expand capacity for production and diversify offerings, especially for fiberglass pools, and on-going strategic initiatives such as our digital transformation program.</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three fiscal quarters ended September 27, 2025, investing activities used $21.1 million of cash, consisting of purchases of property and equipment for $16.2 million and the acquisition of two of our autocover dealers of $4.9 million. The purchase of property and equipment was primarily to expand capacity for production and diversify offerings, especially for fiberglass pools, as well as on-going strategic initiatives such as digital transformation.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During the three fiscal quarters ended September 26, 2026, financing activities provided $5.1 million of cash, primarily consisting of proceeds from long-term debt borrowings, net of discount of $298.5 million, partially offset by payments on long-term debt borrowings of $284.8 million, deferred financing</w:t>
      </w:r>
    </w:p>
    <w:p>
      <w:pPr>
        <w:spacing w:after="0" w:line="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fees paid of $4.7 million, common stock withheld for taxes on restricted stock units of $3.2 million and repayments of finance lease obligations of $0.7 million.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fiscal quarters ended September 27, 2025, financing activities used $4.9 million of cash, primarily consisting of common stock withheld for taxes on restricted stock units of $2.7 million, Term Loan payments of $1.6 million and repayments of finance lease obligations of $0.6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during the three fiscal quarters ended September 26, 2026 from those described under the heading “Management’s Discussion and Analysis of Financial Condition and Results of Operations— Contractual Obligations”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and estimates are described under the heading “Management’s Discussion and Analysis of Financial Condition and Results of Operations—Critical Accounting Policies and Estimates” in our Annual Report and Note 2 to our condensed consolidated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financial statements in this Quarterly Report on Form 10-Q. These estimates are based on historical results, trends, and other assumptions we believe to be reasonable. We evaluate these estimates on an ongoing basis. Actual results may differ from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and notes to such financial statements, is disclosed in Note 2 to our condensed consolidated financial statements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fiscal quarters ended September 26, 2026, there have been no material changes to the information included under the heading “Management’s Discussion and Analysis of Financial Condition and Results of Operations— Quantitative and Qualitative Disclosures about Market Risk”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entered into an interest rate swap that was executed on March 10, 2023 (the “2023 Interest Rate Swap”). The 2023 Interest Rate Swap had an effective date of May 18, 2023 and a termination date of May 18, 2026. Under the terms of the 2023 Interest Rate Swap, we fixed our SOFR borrowing rate on a notional amount of $161.0 million. The 2023 Interest Rate Swap was not designated as a hedging instrument for accounting purposes.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we entered into a new interest rate swap that was executed on June 4, 2025 (the “2025 Interest Rate Swap”). As part of the 2025 Interest Rate Swap, we terminated the 2023 Interest Rate Swap prior to its May 18, 2026 termination date. The 2025 Interest Rate Swap became effective on May 19, 2025 and has a termination date of May 18, 2027. Under the terms of the 2025 Interest Rate Swap, we fixed our SOFR borrowing rate on a notional amount of $140.0 million. The 2025 Interest Rate Swap is not designated as a hedging instrument for accounting purposes.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 increase or decrease of 1% in the effective interest rate, giving effect related to interest rate swaps, as of September 26, 2026, would cause an increase or decrease to annual interest expense, net of approximately $1.4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26, 2026. Based upon their evaluation, our Chief Executive Officer and Chief Financial Officer concluded that our disclosure controls and procedures were effective at a reasonable assurance level as of September 26, 2026.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Starting in the second quarter of 2024, as part of a multi-year implementation of a new ERP system, the Company began utilizing certain aspects of the new ERP system. Eventually, this ERP system will replace the existing core financial systems. The ERP system is designed to accurately maintain the Company’s financial records, enhance the flow of financial information, improve data management and provide timely information to its management team. The Company does not believe the changes implemented to date represent a material change in internal control over financial reporting.</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There were no other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in the ordinary course of business, including, among others, contract and employment claims, personal injury claims, intellectual property claims, product liability claims and warranty claims, some of which may be covered by insurance. Currently, there are no legal proceedings against us that we believe will have a material adverse effect on our business, financial condition, results of operations or cash flows. Further, no material legal proceedings were terminated, settled, or otherwise resolved during the fiscal quarter ended September 26, 2026. However, the results of any current or future legal proceedings cannot be predicted with certainty and, regardless of the outcome, we may incur significant costs and experience a diversion of management resources as a result of legal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that materially affect our business, financial condition, and results of operations. There have been no material changes from the risk factors previously disclosed in our Annual Report and our Quarterly Report on Form 10-Q for the fiscal quarter ended March 28, 2026. You should carefully consider the risks, uncertainties, assumptions and other important factors set forth in the Annual Report and other subsequent reports we file with the SEC, including this Quarterly Report on Form 10-Q,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do not describe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In addition, these risks do not reflect the potential impact of any future acquisitions, mergers, dispositions, joint ventures or investments we may undertake. Any of these known or emerging factors may materially adversely affect our business, financial condition, and operating results, as well as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26, 2026,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00"/>
          </w:cols>
          <w:pgMar w:left="320" w:top="121" w:right="379" w:bottom="1440" w:gutter="0" w:footer="0" w:header="0"/>
        </w:sect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83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111760</wp:posOffset>
            </wp:positionV>
            <wp:extent cx="63436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178" w:lineRule="exact"/>
        <w:rPr>
          <w:sz w:val="20"/>
          <w:szCs w:val="20"/>
          <w:color w:val="auto"/>
        </w:rPr>
      </w:pPr>
    </w:p>
    <w:p>
      <w:pPr>
        <w:ind w:right="260"/>
        <w:spacing w:after="0" w:line="237"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Amended and Restated Certificate of Incorporation of Latham Group, Inc. (incorporated by reference to Exhibit 3.1 to Latham Group,</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Inc.’s Quarterly Report on Form 10-Q filed with the SEC on June 3, 2021 (File No. 001-40358))</w:t>
        </w:r>
      </w:hyperlink>
    </w:p>
    <w:p>
      <w:pPr>
        <w:spacing w:after="0" w:line="77"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Amended and Restated Bylaws of Latham Group, Inc. (incorporated by reference to Exhibit 3.2 to Latham Group, Inc.’s Quarterly Report</w:t>
        </w:r>
      </w:hyperlink>
      <w:r>
        <w:rPr>
          <w:rFonts w:ascii="Times New Roman" w:cs="Times New Roman" w:eastAsia="Times New Roman" w:hAnsi="Times New Roman"/>
          <w:sz w:val="18"/>
          <w:szCs w:val="18"/>
          <w:u w:val="single" w:color="auto"/>
          <w:color w:val="0000FF"/>
        </w:rPr>
        <w:t xml:space="preserve"> </w:t>
      </w:r>
      <w:hyperlink r:id="rId84">
        <w:r>
          <w:rPr>
            <w:rFonts w:ascii="Times New Roman" w:cs="Times New Roman" w:eastAsia="Times New Roman" w:hAnsi="Times New Roman"/>
            <w:sz w:val="18"/>
            <w:szCs w:val="18"/>
            <w:u w:val="single" w:color="auto"/>
            <w:color w:val="0000FF"/>
          </w:rPr>
          <w:t>on Form 10-Q filed with the SEC on June 3, 2021 (File No. 001-40358))</w:t>
        </w:r>
      </w:hyperlink>
    </w:p>
    <w:p>
      <w:pPr>
        <w:spacing w:after="0" w:line="77"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85">
        <w:r>
          <w:rPr>
            <w:rFonts w:ascii="Times New Roman" w:cs="Times New Roman" w:eastAsia="Times New Roman" w:hAnsi="Times New Roman"/>
            <w:sz w:val="17"/>
            <w:szCs w:val="17"/>
            <w:u w:val="single" w:color="auto"/>
            <w:color w:val="0000FF"/>
          </w:rPr>
          <w:t>Credit Agreement, dated as of August 20, 2026, by and among Latham Pool Products, Inc., Latham International Manufacturing Corp.,</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the other guarantors party thereto, the lenders and letter of credit issuers party thereto and Jefferies Finance LLC, as administrative agent</w:t>
        </w:r>
      </w:hyperlink>
    </w:p>
    <w:p>
      <w:pPr>
        <w:ind w:right="180"/>
        <w:spacing w:after="0" w:line="226" w:lineRule="auto"/>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(incorporated by reference to Exhibit 10.1 to Latham Group, Inc.’s Current Report on Form 8-K filed with the SEC on August 21, 2026</w:t>
        </w:r>
      </w:hyperlink>
      <w:r>
        <w:rPr>
          <w:rFonts w:ascii="Times New Roman" w:cs="Times New Roman" w:eastAsia="Times New Roman" w:hAnsi="Times New Roman"/>
          <w:sz w:val="18"/>
          <w:szCs w:val="18"/>
          <w:u w:val="single" w:color="auto"/>
          <w:color w:val="0000FF"/>
        </w:rPr>
        <w:t xml:space="preserve"> </w:t>
      </w:r>
      <w:hyperlink r:id="rId85">
        <w:r>
          <w:rPr>
            <w:rFonts w:ascii="Times New Roman" w:cs="Times New Roman" w:eastAsia="Times New Roman" w:hAnsi="Times New Roman"/>
            <w:sz w:val="18"/>
            <w:szCs w:val="18"/>
            <w:u w:val="single" w:color="auto"/>
            <w:color w:val="0000FF"/>
          </w:rPr>
          <w:t>(File No. 001-40358))</w:t>
        </w:r>
      </w:hyperlink>
    </w:p>
    <w:p>
      <w:pPr>
        <w:spacing w:after="0" w:line="63" w:lineRule="exact"/>
        <w:rPr>
          <w:sz w:val="20"/>
          <w:szCs w:val="20"/>
          <w:color w:val="auto"/>
        </w:rPr>
      </w:pPr>
    </w:p>
    <w:p>
      <w:pPr>
        <w:ind w:right="160"/>
        <w:spacing w:after="0" w:line="236" w:lineRule="auto"/>
        <w:rPr>
          <w:rFonts w:ascii="Times New Roman" w:cs="Times New Roman" w:eastAsia="Times New Roman" w:hAnsi="Times New Roman"/>
          <w:sz w:val="17"/>
          <w:szCs w:val="17"/>
          <w:u w:val="single" w:color="auto"/>
          <w:color w:val="0000FF"/>
        </w:rPr>
      </w:pPr>
      <w:hyperlink r:id="rId86">
        <w:r>
          <w:rPr>
            <w:rFonts w:ascii="Times New Roman" w:cs="Times New Roman" w:eastAsia="Times New Roman" w:hAnsi="Times New Roman"/>
            <w:sz w:val="17"/>
            <w:szCs w:val="17"/>
            <w:u w:val="single" w:color="auto"/>
            <w:color w:val="0000FF"/>
          </w:rPr>
          <w:t>Loan Guaranty, dated as of August 20, 2026, by and among Latham Pool Products, Inc., Latham International Manufacturing Corp., the</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other guarantors party thereto, the lenders and letter of credit issuers party thereto and Jefferies Finance LLC, as administrative agent</w:t>
        </w:r>
      </w:hyperlink>
    </w:p>
    <w:p>
      <w:pPr>
        <w:ind w:right="180"/>
        <w:spacing w:after="0" w:line="226"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(incorporated by reference to Exhibit 10.2 to Latham Group, Inc.’s Current Report on Form 8-K filed with the SEC on August 21, 2026</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(File No. 001-40358))</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CEO, pursuant to SEC Rule 13a-14(a) and 15d-14(a)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CFO, pursuant to SEC Rule 13a-14(a) and 15d-14(a)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by the CEO, pursuant to 18 U.S.C. Section 1350, as adopted pursuant to Section 906 of the Sarbanes-Oxley Act of 2002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by the CFO, pursuant to 18 U.S.C. Section 1350, as adopted pursuant to Section 906 of the Sarbanes-Oxley Act of 2002</w:t>
      </w:r>
    </w:p>
    <w:p>
      <w:pPr>
        <w:spacing w:after="0" w:line="90" w:lineRule="exact"/>
        <w:rPr>
          <w:sz w:val="20"/>
          <w:szCs w:val="20"/>
          <w:color w:val="auto"/>
        </w:rPr>
      </w:pPr>
    </w:p>
    <w:p>
      <w:pPr>
        <w:ind w:right="680"/>
        <w:spacing w:after="0" w:line="237"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4" w:lineRule="exact"/>
        <w:rPr>
          <w:sz w:val="20"/>
          <w:szCs w:val="20"/>
          <w:color w:val="auto"/>
        </w:rPr>
      </w:pPr>
    </w:p>
    <w:p>
      <w:pPr>
        <w:sectPr>
          <w:pgSz w:w="11900" w:h="16838" w:orient="portrait"/>
          <w:cols w:equalWidth="0" w:num="2">
            <w:col w:w="800" w:space="460"/>
            <w:col w:w="9940"/>
          </w:cols>
          <w:pgMar w:left="320" w:top="121"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25" w:lineRule="exact"/>
        <w:rPr>
          <w:sz w:val="20"/>
          <w:szCs w:val="20"/>
          <w:color w:val="auto"/>
        </w:rPr>
      </w:pPr>
    </w:p>
    <w:p>
      <w:pPr>
        <w:ind w:left="1060" w:hanging="1052"/>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1060" w:hanging="1052"/>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left="1060" w:right="60" w:hanging="1052"/>
        <w:spacing w:after="0" w:line="266" w:lineRule="auto"/>
        <w:tabs>
          <w:tab w:leader="none" w:pos="10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601(a)(5) of Regulation S-K. The Company agrees to furnish any omitted schedules or exhibits upon the request of the Securities and Exchange Commission. A list of the omitted schedules and exhibits to this agreement is set forth in the agreement.</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2026</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19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Oliver C. Gloe</w:t>
      </w:r>
    </w:p>
    <w:p>
      <w:pPr>
        <w:spacing w:after="0" w:line="3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320" w:top="121"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Sean Gadd, certify that:</w:t>
      </w:r>
    </w:p>
    <w:p>
      <w:pPr>
        <w:spacing w:after="0" w:line="11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31"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5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1"/>
          <w:szCs w:val="21"/>
          <w:color w:val="auto"/>
        </w:rPr>
      </w:pPr>
    </w:p>
    <w:p>
      <w:pPr>
        <w:jc w:val="both"/>
        <w:ind w:left="660" w:hanging="328"/>
        <w:spacing w:after="0" w:line="262" w:lineRule="auto"/>
        <w:tabs>
          <w:tab w:leader="none" w:pos="65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21"/>
          <w:szCs w:val="21"/>
          <w:color w:val="auto"/>
        </w:rPr>
      </w:pPr>
    </w:p>
    <w:p>
      <w:pPr>
        <w:jc w:val="both"/>
        <w:ind w:left="660" w:hanging="328"/>
        <w:spacing w:after="0" w:line="262" w:lineRule="auto"/>
        <w:tabs>
          <w:tab w:leader="none" w:pos="65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6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295"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1"/>
          <w:szCs w:val="21"/>
          <w:color w:val="auto"/>
        </w:rPr>
      </w:pPr>
    </w:p>
    <w:p>
      <w:pPr>
        <w:jc w:val="both"/>
        <w:ind w:left="1300" w:right="20" w:hanging="320"/>
        <w:spacing w:after="0" w:line="274" w:lineRule="auto"/>
        <w:tabs>
          <w:tab w:leader="none" w:pos="1293"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20"/>
          <w:szCs w:val="20"/>
          <w:color w:val="auto"/>
        </w:rPr>
      </w:pPr>
    </w:p>
    <w:p>
      <w:pPr>
        <w:jc w:val="both"/>
        <w:ind w:left="1300" w:hanging="320"/>
        <w:spacing w:after="0" w:line="262" w:lineRule="auto"/>
        <w:tabs>
          <w:tab w:leader="none" w:pos="1295"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293"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53"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1"/>
          <w:szCs w:val="21"/>
          <w:color w:val="auto"/>
        </w:rPr>
      </w:pPr>
    </w:p>
    <w:p>
      <w:pPr>
        <w:jc w:val="both"/>
        <w:ind w:left="1300" w:hanging="320"/>
        <w:spacing w:after="0" w:line="262" w:lineRule="auto"/>
        <w:tabs>
          <w:tab w:leader="none" w:pos="1295"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28" w:right="339" w:bottom="1440" w:gutter="0" w:footer="0" w:header="0"/>
        </w:sectPr>
      </w:pPr>
    </w:p>
    <w:bookmarkStart w:id="46" w:name="page47"/>
    <w:bookmarkEnd w:id="46"/>
    <w:p>
      <w:pPr>
        <w:ind w:left="1280" w:hanging="320"/>
        <w:spacing w:after="0" w:line="270" w:lineRule="auto"/>
        <w:tabs>
          <w:tab w:leader="none" w:pos="127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7820" w:val="left"/>
        </w:tabs>
        <w:rPr>
          <w:sz w:val="20"/>
          <w:szCs w:val="20"/>
          <w:color w:val="auto"/>
        </w:rPr>
      </w:pPr>
      <w:r>
        <w:rPr>
          <w:rFonts w:ascii="Times New Roman" w:cs="Times New Roman" w:eastAsia="Times New Roman" w:hAnsi="Times New Roman"/>
          <w:sz w:val="21"/>
          <w:szCs w:val="21"/>
          <w:color w:val="auto"/>
        </w:rPr>
        <w:t>November 4, 2026</w:t>
      </w:r>
      <w:r>
        <w:rPr>
          <w:sz w:val="20"/>
          <w:szCs w:val="20"/>
          <w:color w:val="auto"/>
        </w:rPr>
        <w:tab/>
      </w:r>
      <w:r>
        <w:rPr>
          <w:rFonts w:ascii="Times New Roman" w:cs="Times New Roman" w:eastAsia="Times New Roman" w:hAnsi="Times New Roman"/>
          <w:sz w:val="20"/>
          <w:szCs w:val="20"/>
          <w:i w:val="1"/>
          <w:iCs w:val="1"/>
          <w:color w:val="auto"/>
        </w:rPr>
        <w:t>/s/ Sean Gadd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14605</wp:posOffset>
            </wp:positionV>
            <wp:extent cx="3566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Sean Gadd</w:t>
      </w:r>
    </w:p>
    <w:p>
      <w:pPr>
        <w:spacing w:after="0" w:line="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Chief Executive Officer and President</w:t>
      </w:r>
    </w:p>
    <w:p>
      <w:pPr>
        <w:spacing w:after="0" w:line="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Latham Group, Inc.</w:t>
      </w:r>
    </w:p>
    <w:p>
      <w:pPr>
        <w:sectPr>
          <w:pgSz w:w="11900" w:h="16838" w:orient="portrait"/>
          <w:cols w:equalWidth="0" w:num="1">
            <w:col w:w="11200"/>
          </w:cols>
          <w:pgMar w:left="340" w:top="930" w:right="3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LATHAM GROUP,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Oliver C. Gloe, certify that:</w:t>
      </w:r>
    </w:p>
    <w:p>
      <w:pPr>
        <w:spacing w:after="0" w:line="110"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Latham Group, Inc.;</w:t>
      </w:r>
    </w:p>
    <w:p>
      <w:pPr>
        <w:spacing w:after="0" w:line="231"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5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21"/>
          <w:szCs w:val="21"/>
          <w:color w:val="auto"/>
        </w:rPr>
      </w:pPr>
    </w:p>
    <w:p>
      <w:pPr>
        <w:jc w:val="both"/>
        <w:ind w:left="660" w:hanging="328"/>
        <w:spacing w:after="0" w:line="262" w:lineRule="auto"/>
        <w:tabs>
          <w:tab w:leader="none" w:pos="65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Times New Roman" w:cs="Times New Roman" w:eastAsia="Times New Roman" w:hAnsi="Times New Roman"/>
          <w:sz w:val="21"/>
          <w:szCs w:val="21"/>
          <w:color w:val="auto"/>
        </w:rPr>
      </w:pPr>
    </w:p>
    <w:p>
      <w:pPr>
        <w:jc w:val="both"/>
        <w:ind w:left="660" w:hanging="328"/>
        <w:spacing w:after="0" w:line="262" w:lineRule="auto"/>
        <w:tabs>
          <w:tab w:leader="none" w:pos="65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6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295"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1"/>
          <w:szCs w:val="21"/>
          <w:color w:val="auto"/>
        </w:rPr>
      </w:pPr>
    </w:p>
    <w:p>
      <w:pPr>
        <w:jc w:val="both"/>
        <w:ind w:left="1300" w:right="20" w:hanging="320"/>
        <w:spacing w:after="0" w:line="274" w:lineRule="auto"/>
        <w:tabs>
          <w:tab w:leader="none" w:pos="129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20"/>
          <w:szCs w:val="20"/>
          <w:color w:val="auto"/>
        </w:rPr>
      </w:pPr>
    </w:p>
    <w:p>
      <w:pPr>
        <w:jc w:val="both"/>
        <w:ind w:left="1300" w:hanging="320"/>
        <w:spacing w:after="0" w:line="262" w:lineRule="auto"/>
        <w:tabs>
          <w:tab w:leader="none" w:pos="1295"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21"/>
          <w:szCs w:val="21"/>
          <w:color w:val="auto"/>
        </w:rPr>
      </w:pPr>
    </w:p>
    <w:p>
      <w:pPr>
        <w:jc w:val="both"/>
        <w:ind w:left="1300" w:hanging="320"/>
        <w:spacing w:after="0" w:line="255" w:lineRule="auto"/>
        <w:tabs>
          <w:tab w:leader="none" w:pos="1293"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Times New Roman" w:cs="Times New Roman" w:eastAsia="Times New Roman" w:hAnsi="Times New Roman"/>
          <w:sz w:val="21"/>
          <w:szCs w:val="21"/>
          <w:color w:val="auto"/>
        </w:rPr>
      </w:pPr>
    </w:p>
    <w:p>
      <w:pPr>
        <w:jc w:val="both"/>
        <w:ind w:left="660" w:hanging="328"/>
        <w:spacing w:after="0" w:line="255" w:lineRule="auto"/>
        <w:tabs>
          <w:tab w:leader="none" w:pos="65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21"/>
          <w:szCs w:val="21"/>
          <w:color w:val="auto"/>
        </w:rPr>
      </w:pPr>
    </w:p>
    <w:p>
      <w:pPr>
        <w:jc w:val="both"/>
        <w:ind w:left="1300" w:hanging="320"/>
        <w:spacing w:after="0" w:line="262" w:lineRule="auto"/>
        <w:tabs>
          <w:tab w:leader="none" w:pos="1295"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28" w:right="339" w:bottom="1440" w:gutter="0" w:footer="0" w:header="0"/>
        </w:sectPr>
      </w:pPr>
    </w:p>
    <w:bookmarkStart w:id="48" w:name="page49"/>
    <w:bookmarkEnd w:id="48"/>
    <w:p>
      <w:pPr>
        <w:ind w:left="1280" w:hanging="320"/>
        <w:spacing w:after="0" w:line="270" w:lineRule="auto"/>
        <w:tabs>
          <w:tab w:leader="none" w:pos="127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tabs>
          <w:tab w:leader="none" w:pos="7660" w:val="left"/>
        </w:tabs>
        <w:rPr>
          <w:sz w:val="20"/>
          <w:szCs w:val="20"/>
          <w:color w:val="auto"/>
        </w:rPr>
      </w:pPr>
      <w:r>
        <w:rPr>
          <w:rFonts w:ascii="Times New Roman" w:cs="Times New Roman" w:eastAsia="Times New Roman" w:hAnsi="Times New Roman"/>
          <w:sz w:val="21"/>
          <w:szCs w:val="21"/>
          <w:color w:val="auto"/>
        </w:rPr>
        <w:t>November 4, 2026</w:t>
      </w:r>
      <w:r>
        <w:rPr>
          <w:sz w:val="20"/>
          <w:szCs w:val="20"/>
          <w:color w:val="auto"/>
        </w:rPr>
        <w:tab/>
      </w:r>
      <w:r>
        <w:rPr>
          <w:rFonts w:ascii="Times New Roman" w:cs="Times New Roman" w:eastAsia="Times New Roman" w:hAnsi="Times New Roman"/>
          <w:sz w:val="20"/>
          <w:szCs w:val="20"/>
          <w:i w:val="1"/>
          <w:iCs w:val="1"/>
          <w:color w:val="auto"/>
        </w:rPr>
        <w:t>/s/ Oliver C. Gloe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14605</wp:posOffset>
            </wp:positionV>
            <wp:extent cx="3566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Oliver C. Gloe</w:t>
      </w:r>
    </w:p>
    <w:p>
      <w:pPr>
        <w:spacing w:after="0" w:line="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Chief Financial Officer</w:t>
      </w:r>
    </w:p>
    <w:p>
      <w:pPr>
        <w:spacing w:after="0" w:line="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1"/>
          <w:szCs w:val="21"/>
          <w:color w:val="auto"/>
        </w:rPr>
        <w:t>Latham Group, Inc.</w:t>
      </w:r>
    </w:p>
    <w:p>
      <w:pPr>
        <w:sectPr>
          <w:pgSz w:w="11900" w:h="16838" w:orient="portrait"/>
          <w:cols w:equalWidth="0" w:num="1">
            <w:col w:w="11200"/>
          </w:cols>
          <w:pgMar w:left="340" w:top="930"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September 26, 2026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Sean Gadd,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November 4, 2026</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/s/ Sean Gadd</w:t>
            </w:r>
          </w:p>
        </w:tc>
      </w:tr>
      <w:tr>
        <w:trPr>
          <w:trHeight w:val="277"/>
        </w:trPr>
        <w:tc>
          <w:tcPr>
            <w:tcW w:w="60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Sean Gadd</w:t>
            </w:r>
          </w:p>
        </w:tc>
      </w:tr>
      <w:tr>
        <w:trPr>
          <w:trHeight w:val="283"/>
        </w:trPr>
        <w:tc>
          <w:tcPr>
            <w:tcW w:w="60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Chief Executive Officer and President</w:t>
            </w:r>
          </w:p>
        </w:tc>
      </w:tr>
      <w:tr>
        <w:trPr>
          <w:trHeight w:val="284"/>
        </w:trPr>
        <w:tc>
          <w:tcPr>
            <w:tcW w:w="60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Latham Group, Inc.</w:t>
            </w:r>
          </w:p>
        </w:tc>
      </w:tr>
    </w:tbl>
    <w:p>
      <w:pPr>
        <w:spacing w:after="0" w:line="28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ectPr>
          <w:pgSz w:w="11900" w:h="16838" w:orient="portrait"/>
          <w:cols w:equalWidth="0" w:num="1">
            <w:col w:w="11240"/>
          </w:cols>
          <w:pgMar w:left="320" w:top="93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connection with the Quarterly Report of Latham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on Form 10-Q for the period ending September 26, 2026 as filed with the Securities and Exchange Commission on the date hereof (the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 Oliver C. Gloe,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6000" w:type="dxa"/>
            <w:vAlign w:val="bottom"/>
          </w:tcPr>
          <w:p>
            <w:pPr>
              <w:spacing w:after="0"/>
              <w:rPr>
                <w:sz w:val="20"/>
                <w:szCs w:val="20"/>
                <w:color w:val="auto"/>
              </w:rPr>
            </w:pPr>
            <w:r>
              <w:rPr>
                <w:rFonts w:ascii="Times New Roman" w:cs="Times New Roman" w:eastAsia="Times New Roman" w:hAnsi="Times New Roman"/>
                <w:sz w:val="22"/>
                <w:szCs w:val="22"/>
                <w:color w:val="auto"/>
              </w:rPr>
              <w:t>November 4, 2026</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8"/>
              </w:rPr>
              <w:t>/s/ Oliver C. Gloe</w:t>
            </w:r>
          </w:p>
        </w:tc>
      </w:tr>
      <w:tr>
        <w:trPr>
          <w:trHeight w:val="277"/>
        </w:trPr>
        <w:tc>
          <w:tcPr>
            <w:tcW w:w="60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Oliver C. Gloe</w:t>
            </w:r>
          </w:p>
        </w:tc>
      </w:tr>
      <w:tr>
        <w:trPr>
          <w:trHeight w:val="283"/>
        </w:trPr>
        <w:tc>
          <w:tcPr>
            <w:tcW w:w="60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Chief Financial Officer</w:t>
            </w:r>
          </w:p>
        </w:tc>
      </w:tr>
      <w:tr>
        <w:trPr>
          <w:trHeight w:val="284"/>
        </w:trPr>
        <w:tc>
          <w:tcPr>
            <w:tcW w:w="600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Latham Group, Inc.</w:t>
            </w:r>
          </w:p>
        </w:tc>
      </w:tr>
    </w:tbl>
    <w:p>
      <w:pPr>
        <w:spacing w:after="0" w:line="28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sectPr>
      <w:pgSz w:w="11900" w:h="16838" w:orient="portrait"/>
      <w:cols w:equalWidth="0" w:num="1">
        <w:col w:w="11240"/>
      </w:cols>
      <w:pgMar w:left="320" w:top="9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Roman"/>
      <w:start w:val="2"/>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lvl w:ilvl="1">
      <w:lvlJc w:val="left"/>
      <w:lvlText w:val="(%2)"/>
      <w:numFmt w:val="decimal"/>
      <w:start w:val="1"/>
    </w:lvl>
  </w:abstractNum>
  <w:abstractNum w:abstractNumId="5">
    <w:nsid w:val="7FDCC233"/>
    <w:multiLevelType w:val="hybridMultilevel"/>
    <w:lvl w:ilvl="0">
      <w:lvlJc w:val="left"/>
      <w:lvlText w:val="%1."/>
      <w:numFmt w:val="decimal"/>
      <w:start w:val="13"/>
    </w:lvl>
    <w:lvl w:ilvl="1">
      <w:lvlJc w:val="left"/>
      <w:lvlText w:val="%2"/>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Roman"/>
      <w:start w:val="3"/>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lowerLetter"/>
      <w:start w:val="2"/>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83" Type="http://schemas.openxmlformats.org/officeDocument/2006/relationships/hyperlink" Target="https://www.sec.gov/Archives/edgar/data/1833197/000110465921076404/tm2117455d1_ex3-1.htm" TargetMode="External"/><Relationship Id="rId84" Type="http://schemas.openxmlformats.org/officeDocument/2006/relationships/hyperlink" Target="https://www.sec.gov/Archives/edgar/data/1833197/000110465921076404/tm2117455d1_ex3-2.htm" TargetMode="External"/><Relationship Id="rId85" Type="http://schemas.openxmlformats.org/officeDocument/2006/relationships/hyperlink" Target="https://www.sec.gov/Archives/edgar/data/1833197/000183319726000036/lathampoolspamplona-cred.htm" TargetMode="External"/><Relationship Id="rId86" Type="http://schemas.openxmlformats.org/officeDocument/2006/relationships/hyperlink" Target="https://www.sec.gov/Archives/edgar/data/1833197/000183319726000036/lathampoolspamplona-loang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2026-11-04T06:34:03Z</dcterms:created>
  <dcterms:modified xsi:type="dcterms:W3CDTF">2026-11-04T06:34:03Z</dcterms:modified>
</cp:coreProperties>
</file>